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sz w:val="36"/>
          <w:szCs w:val="36"/>
        </w:rPr>
        <w:t xml:space="preserve">ACUERDO DE TRATAMIENTO DE DATOS (DPA)</w:t>
      </w:r>
    </w:p>
    <w:p>
      <w:pPr>
        <w:spacing w:after="120"/>
        <w:jc w:val="center"/>
      </w:pPr>
      <w:r>
        <w:rPr>
          <w:i/>
          <w:iCs/>
          <w:sz w:val="22"/>
          <w:szCs w:val="22"/>
        </w:rPr>
        <w:t xml:space="preserve">Data Processing Agreement</w:t>
      </w:r>
    </w:p>
    <w:p>
      <w:pPr>
        <w:spacing w:after="120"/>
        <w:jc w:val="center"/>
      </w:pPr>
      <w:r>
        <w:rPr>
          <w:b/>
          <w:bCs/>
          <w:sz w:val="28"/>
          <w:szCs w:val="28"/>
        </w:rPr>
        <w:t xml:space="preserve">[NOMBRE DEL SERVICIO]</w:t>
      </w:r>
    </w:p>
    <w:p>
      <w:pPr>
        <w:spacing w:after="360"/>
        <w:jc w:val="center"/>
      </w:pPr>
      <w:r>
        <w:rPr>
          <w:i/>
          <w:iCs/>
          <w:sz w:val="20"/>
          <w:szCs w:val="20"/>
        </w:rPr>
        <w:t xml:space="preserve">Última actualización: [FECHA DE PUBLICACIÓN]</w:t>
      </w:r>
    </w:p>
    <w:p>
      <w:pPr>
        <w:spacing w:after="240" w:before="120"/>
      </w:pPr>
      <w:r>
        <w:rPr>
          <w:i/>
          <w:iCs/>
          <w:color w:val="B91C1C"/>
        </w:rPr>
        <w:t xml:space="preserve">DOCUMENTO BORRADOR — Este Acuerdo regula el tratamiento de datos personales entre el Prestador (Encargado) y el Cliente (Responsable). Debe ser revisado por un abogado matriculado antes de publicar o ejecutar. Se integra como anexo a los Términos y Condiciones.</w:t>
      </w:r>
    </w:p>
    <w:p>
      <w:pPr>
        <w:pStyle w:val="Heading1"/>
      </w:pPr>
      <w:r>
        <w:t xml:space="preserve">1. Partes</w:t>
      </w:r>
    </w:p>
    <w:p>
      <w:pPr>
        <w:spacing w:after="120"/>
      </w:pPr>
      <w:r>
        <w:t xml:space="preserve">1.1. Encargado del Tratamiento (en adelante, el “Encargado” o “Prestador”): [RAZÓN SOCIAL O NOMBRE Y APELLIDO], CUIT N° [CUIT], con domicilio en [DOMICILIO], Mar del Plata, Provincia de Buenos Aires, Argentina.</w:t>
      </w:r>
    </w:p>
    <w:p>
      <w:pPr>
        <w:spacing w:after="120"/>
      </w:pPr>
      <w:r>
        <w:t xml:space="preserve">1.2. Responsable del Tratamiento (en adelante, el “Responsable” o “Cliente”): la persona humana o jurídica que contrata el Servicio [NOMBRE DEL SERVICIO], cuyos datos de identificación constan en el registro de su cuenta o en el contrato de suscripción.</w:t>
      </w:r>
    </w:p>
    <w:p>
      <w:pPr>
        <w:pStyle w:val="Heading1"/>
      </w:pPr>
      <w:r>
        <w:t xml:space="preserve">2. Objeto</w:t>
      </w:r>
    </w:p>
    <w:p>
      <w:pPr>
        <w:spacing w:after="120"/>
      </w:pPr>
      <w:r>
        <w:t xml:space="preserve">2.1. El presente Acuerdo regula las condiciones bajo las cuales el Encargado trata, por cuenta y por instrucción del Responsable, los datos personales de los Usuarios Finales del Responsable en el marco de la prestación del Servicio.</w:t>
      </w:r>
    </w:p>
    <w:p>
      <w:pPr>
        <w:spacing w:after="120"/>
      </w:pPr>
      <w:r>
        <w:t xml:space="preserve">2.2. Este Acuerdo se celebra en cumplimiento del artículo 25 de la Ley N° 25.326, su Decreto Reglamentario y las Disposiciones complementarias de la AAIP.</w:t>
      </w:r>
    </w:p>
    <w:p>
      <w:pPr>
        <w:pStyle w:val="Heading1"/>
      </w:pPr>
      <w:r>
        <w:t xml:space="preserve">3. Marco Normativo</w:t>
      </w:r>
    </w:p>
    <w:p>
      <w:pPr>
        <w:spacing w:after="120"/>
      </w:pPr>
      <w:r>
        <w:t xml:space="preserve">El tratamiento se rige por la Ley N° 25.326, Decreto N° 1.558/01, Resoluciones y Disposiciones de la AAIP (incluyendo, en materia de transferencia internacional, la Resolución N° 60/2016 y sus normas complementarias o sustitutivas) y demás normativa argentina aplicable.</w:t>
      </w:r>
    </w:p>
    <w:p>
      <w:pPr>
        <w:pStyle w:val="Heading1"/>
      </w:pPr>
      <w:r>
        <w:t xml:space="preserve">4. Roles y Responsabilidades</w:t>
      </w:r>
    </w:p>
    <w:p>
      <w:pPr>
        <w:spacing w:after="120"/>
      </w:pPr>
      <w:r>
        <w:t xml:space="preserve">4.1. El Responsable determina la finalidad y los medios del tratamiento. Es el único responsable frente a los Usuarios Finales por la licitud del tratamiento, la base de legitimación y la información brindada a los titulares.</w:t>
      </w:r>
    </w:p>
    <w:p>
      <w:pPr>
        <w:spacing w:after="120"/>
      </w:pPr>
      <w:r>
        <w:t xml:space="preserve">4.2. El Encargado trata los datos únicamente conforme a las instrucciones documentadas del Responsable. Se considera instrucción documentada la configuración realizada por el Responsable en la Plataforma, los Términos y Condiciones y el presente Acuerdo.</w:t>
      </w:r>
    </w:p>
    <w:p>
      <w:pPr>
        <w:spacing w:after="120"/>
      </w:pPr>
      <w:r>
        <w:t xml:space="preserve">4.3. Si el Encargado considera que una instrucción infringe la normativa de protección de datos, lo notificará al Responsable.</w:t>
      </w:r>
    </w:p>
    <w:p>
      <w:pPr>
        <w:pStyle w:val="Heading1"/>
      </w:pPr>
      <w:r>
        <w:t xml:space="preserve">5. Descripción del Tratamiento</w:t>
      </w:r>
    </w:p>
    <w:p>
      <w:pPr>
        <w:pStyle w:val="Heading2"/>
      </w:pPr>
      <w:r>
        <w:t xml:space="preserve">5.1. Finalidades</w:t>
      </w:r>
    </w:p>
    <w:p>
      <w:pPr>
        <w:pStyle w:val="ListParagraph"/>
        <w:numPr>
          <w:ilvl w:val="0"/>
          <w:numId w:val="2"/>
        </w:numPr>
        <w:spacing w:after="80"/>
      </w:pPr>
      <w:r>
        <w:t xml:space="preserve">Gestión de reservas y agenda del Responsable.</w:t>
      </w:r>
    </w:p>
    <w:p>
      <w:pPr>
        <w:pStyle w:val="ListParagraph"/>
        <w:numPr>
          <w:ilvl w:val="0"/>
          <w:numId w:val="2"/>
        </w:numPr>
        <w:spacing w:after="80"/>
      </w:pPr>
      <w:r>
        <w:t xml:space="preserve">Comunicaciones transaccionales a Usuarios Finales (email, WhatsApp).</w:t>
      </w:r>
    </w:p>
    <w:p>
      <w:pPr>
        <w:pStyle w:val="ListParagraph"/>
        <w:numPr>
          <w:ilvl w:val="0"/>
          <w:numId w:val="2"/>
        </w:numPr>
        <w:spacing w:after="80"/>
      </w:pPr>
      <w:r>
        <w:t xml:space="preserve">Procesamiento de pagos de Usuarios Finales mediante los procesadores habilitados (Mercado Pago).</w:t>
      </w:r>
    </w:p>
    <w:p>
      <w:pPr>
        <w:pStyle w:val="ListParagraph"/>
        <w:numPr>
          <w:ilvl w:val="0"/>
          <w:numId w:val="2"/>
        </w:numPr>
        <w:spacing w:after="80"/>
      </w:pPr>
      <w:r>
        <w:t xml:space="preserve">Autocompletado, CRM básico y exportaciones que el Responsable ejecuta en su cuenta.</w:t>
      </w:r>
    </w:p>
    <w:p>
      <w:pPr>
        <w:pStyle w:val="ListParagraph"/>
        <w:numPr>
          <w:ilvl w:val="0"/>
          <w:numId w:val="2"/>
        </w:numPr>
        <w:spacing w:after="80"/>
      </w:pPr>
      <w:r>
        <w:t xml:space="preserve">Soporte técnico y diagnóstico de incidencias.</w:t>
      </w:r>
    </w:p>
    <w:p>
      <w:pPr>
        <w:pStyle w:val="Heading2"/>
      </w:pPr>
      <w:r>
        <w:t xml:space="preserve">5.2. Categorías de titulares</w:t>
      </w:r>
    </w:p>
    <w:p>
      <w:pPr>
        <w:pStyle w:val="ListParagraph"/>
        <w:numPr>
          <w:ilvl w:val="0"/>
          <w:numId w:val="2"/>
        </w:numPr>
        <w:spacing w:after="80"/>
      </w:pPr>
      <w:r>
        <w:t xml:space="preserve">Usuarios Finales que reservan o son reservados a través de la Plataforma pública del Responsable.</w:t>
      </w:r>
    </w:p>
    <w:p>
      <w:pPr>
        <w:pStyle w:val="Heading2"/>
      </w:pPr>
      <w:r>
        <w:t xml:space="preserve">5.3. Categorías de datos</w:t>
      </w:r>
    </w:p>
    <w:p>
      <w:pPr>
        <w:pStyle w:val="ListParagraph"/>
        <w:numPr>
          <w:ilvl w:val="0"/>
          <w:numId w:val="2"/>
        </w:numPr>
        <w:spacing w:after="80"/>
      </w:pPr>
      <w:r>
        <w:t xml:space="preserve">Datos de contacto: nombre, teléfono, correo electrónico.</w:t>
      </w:r>
    </w:p>
    <w:p>
      <w:pPr>
        <w:pStyle w:val="ListParagraph"/>
        <w:numPr>
          <w:ilvl w:val="0"/>
          <w:numId w:val="2"/>
        </w:numPr>
        <w:spacing w:after="80"/>
      </w:pPr>
      <w:r>
        <w:t xml:space="preserve">Datos de reserva: fecha, hora, recurso, monto, método de pago.</w:t>
      </w:r>
    </w:p>
    <w:p>
      <w:pPr>
        <w:pStyle w:val="ListParagraph"/>
        <w:numPr>
          <w:ilvl w:val="0"/>
          <w:numId w:val="2"/>
        </w:numPr>
        <w:spacing w:after="80"/>
      </w:pPr>
      <w:r>
        <w:t xml:space="preserve">Datos opcionales que el Responsable decida recabar: documento, fecha de nacimiento, dirección, notas internas.</w:t>
      </w:r>
    </w:p>
    <w:p>
      <w:pPr>
        <w:pStyle w:val="ListParagraph"/>
        <w:numPr>
          <w:ilvl w:val="0"/>
          <w:numId w:val="2"/>
        </w:numPr>
        <w:spacing w:after="80"/>
      </w:pPr>
      <w:r>
        <w:t xml:space="preserve">Identificadores técnicos: BSUID de Meta (WhatsApp), IDs internos de la Plataforma.</w:t>
      </w:r>
    </w:p>
    <w:p>
      <w:pPr>
        <w:pStyle w:val="Heading2"/>
      </w:pPr>
      <w:r>
        <w:t xml:space="preserve">5.4. Duración</w:t>
      </w:r>
    </w:p>
    <w:p>
      <w:pPr>
        <w:spacing w:after="120"/>
      </w:pPr>
      <w:r>
        <w:t xml:space="preserve">El tratamiento se extiende por el plazo de vigencia de la relación contractual entre Encargado y Responsable, más los plazos de conservación previstos en la Política de Privacidad y la normativa fiscal aplicable.</w:t>
      </w:r>
    </w:p>
    <w:p>
      <w:pPr>
        <w:pStyle w:val="Heading1"/>
      </w:pPr>
      <w:r>
        <w:t xml:space="preserve">6. Obligaciones del Encargado</w:t>
      </w:r>
    </w:p>
    <w:p>
      <w:pPr>
        <w:spacing w:after="120"/>
      </w:pPr>
      <w:r>
        <w:t xml:space="preserve">El Encargado se obliga a:</w:t>
      </w:r>
    </w:p>
    <w:p>
      <w:pPr>
        <w:pStyle w:val="ListParagraph"/>
        <w:numPr>
          <w:ilvl w:val="0"/>
          <w:numId w:val="2"/>
        </w:numPr>
        <w:spacing w:after="80"/>
      </w:pPr>
      <w:r>
        <w:t xml:space="preserve">Tratar los datos únicamente conforme a las instrucciones del Responsable y para las finalidades descriptas.</w:t>
      </w:r>
    </w:p>
    <w:p>
      <w:pPr>
        <w:pStyle w:val="ListParagraph"/>
        <w:numPr>
          <w:ilvl w:val="0"/>
          <w:numId w:val="2"/>
        </w:numPr>
        <w:spacing w:after="80"/>
      </w:pPr>
      <w:r>
        <w:t xml:space="preserve">No utilizar los datos para finalidades propias, ni comercializarlos ni cederlos a terceros, salvo los subprocesadores autorizados.</w:t>
      </w:r>
    </w:p>
    <w:p>
      <w:pPr>
        <w:pStyle w:val="ListParagraph"/>
        <w:numPr>
          <w:ilvl w:val="0"/>
          <w:numId w:val="2"/>
        </w:numPr>
        <w:spacing w:after="80"/>
      </w:pPr>
      <w:r>
        <w:t xml:space="preserve">Garantizar la confidencialidad de todas las personas que accedan a los datos.</w:t>
      </w:r>
    </w:p>
    <w:p>
      <w:pPr>
        <w:pStyle w:val="ListParagraph"/>
        <w:numPr>
          <w:ilvl w:val="0"/>
          <w:numId w:val="2"/>
        </w:numPr>
        <w:spacing w:after="80"/>
      </w:pPr>
      <w:r>
        <w:t xml:space="preserve">Implementar medidas de seguridad técnicas y organizativas proporcionadas al riesgo (ver Anexo A).</w:t>
      </w:r>
    </w:p>
    <w:p>
      <w:pPr>
        <w:pStyle w:val="ListParagraph"/>
        <w:numPr>
          <w:ilvl w:val="0"/>
          <w:numId w:val="2"/>
        </w:numPr>
        <w:spacing w:after="80"/>
      </w:pPr>
      <w:r>
        <w:t xml:space="preserve">Notificar al Responsable sin demora indebida, y a más tardar dentro de las [72] horas de tomar conocimiento, cualquier incidente de seguridad que afecte datos tratados por su cuenta.</w:t>
      </w:r>
    </w:p>
    <w:p>
      <w:pPr>
        <w:pStyle w:val="ListParagraph"/>
        <w:numPr>
          <w:ilvl w:val="0"/>
          <w:numId w:val="2"/>
        </w:numPr>
        <w:spacing w:after="80"/>
      </w:pPr>
      <w:r>
        <w:t xml:space="preserve">Prestar asistencia razonable al Responsable para responder solicitudes de derechos ARCO de los Usuarios Finales.</w:t>
      </w:r>
    </w:p>
    <w:p>
      <w:pPr>
        <w:pStyle w:val="ListParagraph"/>
        <w:numPr>
          <w:ilvl w:val="0"/>
          <w:numId w:val="2"/>
        </w:numPr>
        <w:spacing w:after="80"/>
      </w:pPr>
      <w:r>
        <w:t xml:space="preserve">Devolver o eliminar los datos al término de la prestación, a elección del Responsable, conforme la cláusula 11.</w:t>
      </w:r>
    </w:p>
    <w:p>
      <w:pPr>
        <w:pStyle w:val="ListParagraph"/>
        <w:numPr>
          <w:ilvl w:val="0"/>
          <w:numId w:val="2"/>
        </w:numPr>
        <w:spacing w:after="80"/>
      </w:pPr>
      <w:r>
        <w:t xml:space="preserve">Poner a disposición del Responsable la información necesaria para demostrar el cumplimiento del presente Acuerdo.</w:t>
      </w:r>
    </w:p>
    <w:p>
      <w:pPr>
        <w:pStyle w:val="Heading1"/>
      </w:pPr>
      <w:r>
        <w:t xml:space="preserve">7. Obligaciones del Responsable</w:t>
      </w:r>
    </w:p>
    <w:p>
      <w:pPr>
        <w:spacing w:after="120"/>
      </w:pPr>
      <w:r>
        <w:t xml:space="preserve">El Responsable se obliga a:</w:t>
      </w:r>
    </w:p>
    <w:p>
      <w:pPr>
        <w:pStyle w:val="ListParagraph"/>
        <w:numPr>
          <w:ilvl w:val="0"/>
          <w:numId w:val="2"/>
        </w:numPr>
        <w:spacing w:after="80"/>
      </w:pPr>
      <w:r>
        <w:t xml:space="preserve">Contar con base de legitimación adecuada (consentimiento, ejecución contractual u otra prevista en el art. 5 de la Ley 25.326) para cada tratamiento que instruya.</w:t>
      </w:r>
    </w:p>
    <w:p>
      <w:pPr>
        <w:pStyle w:val="ListParagraph"/>
        <w:numPr>
          <w:ilvl w:val="0"/>
          <w:numId w:val="2"/>
        </w:numPr>
        <w:spacing w:after="80"/>
      </w:pPr>
      <w:r>
        <w:t xml:space="preserve">Cumplir con los deberes de información a los titulares (art. 6 Ley 25.326).</w:t>
      </w:r>
    </w:p>
    <w:p>
      <w:pPr>
        <w:pStyle w:val="ListParagraph"/>
        <w:numPr>
          <w:ilvl w:val="0"/>
          <w:numId w:val="2"/>
        </w:numPr>
        <w:spacing w:after="80"/>
      </w:pPr>
      <w:r>
        <w:t xml:space="preserve">No cargar datos sensibles (art. 2 Ley 25.326) salvo que cuente con base legal adecuada y lo haya notificado previamente al Encargado.</w:t>
      </w:r>
    </w:p>
    <w:p>
      <w:pPr>
        <w:pStyle w:val="ListParagraph"/>
        <w:numPr>
          <w:ilvl w:val="0"/>
          <w:numId w:val="2"/>
        </w:numPr>
        <w:spacing w:after="80"/>
      </w:pPr>
      <w:r>
        <w:t xml:space="preserve">Recabar de los Usuarios Finales el Opt-In necesario para recibir comunicaciones por WhatsApp, email o SMS.</w:t>
      </w:r>
    </w:p>
    <w:p>
      <w:pPr>
        <w:pStyle w:val="ListParagraph"/>
        <w:numPr>
          <w:ilvl w:val="0"/>
          <w:numId w:val="2"/>
        </w:numPr>
        <w:spacing w:after="80"/>
      </w:pPr>
      <w:r>
        <w:t xml:space="preserve">Responder las solicitudes ARCO dentro de los plazos legales.</w:t>
      </w:r>
    </w:p>
    <w:p>
      <w:pPr>
        <w:pStyle w:val="ListParagraph"/>
        <w:numPr>
          <w:ilvl w:val="0"/>
          <w:numId w:val="2"/>
        </w:numPr>
        <w:spacing w:after="80"/>
      </w:pPr>
      <w:r>
        <w:t xml:space="preserve">Mantener indemne al Encargado frente a reclamaciones originadas en el incumplimiento de sus obligaciones como Responsable.</w:t>
      </w:r>
    </w:p>
    <w:p>
      <w:pPr>
        <w:pStyle w:val="Heading1"/>
      </w:pPr>
      <w:r>
        <w:t xml:space="preserve">8. Subprocesadores</w:t>
      </w:r>
    </w:p>
    <w:p>
      <w:pPr>
        <w:spacing w:after="120"/>
      </w:pPr>
      <w:r>
        <w:t xml:space="preserve">8.1. El Responsable autoriza al Encargado a utilizar subprocesadores para la prestación del Servicio, sujeto a las condiciones del presente Acuerdo.</w:t>
      </w:r>
    </w:p>
    <w:p>
      <w:pPr>
        <w:spacing w:after="120"/>
      </w:pPr>
      <w:r>
        <w:t xml:space="preserve">8.2. Listado actualizado de subprocesadores principales: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4"/>
              <w:left w:val="single" w:color="CCCCCC" w:sz="4"/>
              <w:bottom w:val="single" w:color="CCCCCC" w:sz="4"/>
              <w:right w:val="single" w:color="CCCCCC" w:sz="4"/>
            </w:tcBorders>
            <w:shd w:fill="E5E7EB" w:val="clear"/>
            <w:tcMar>
              <w:top w:type="dxa" w:w="80"/>
              <w:left w:type="dxa" w:w="120"/>
              <w:bottom w:type="dxa" w:w="80"/>
              <w:right w:type="dxa" w:w="120"/>
            </w:tcMar>
          </w:tcPr>
          <w:p>
            <w:r>
              <w:rPr>
                <w:b/>
                <w:bCs/>
                <w:sz w:val="20"/>
                <w:szCs w:val="20"/>
              </w:rPr>
              <w:t xml:space="preserve">Subprocesador</w:t>
            </w:r>
          </w:p>
        </w:tc>
        <w:tc>
          <w:tcPr>
            <w:tcW w:type="dxa" w:w="2340"/>
            <w:tcBorders>
              <w:top w:val="single" w:color="CCCCCC" w:sz="4"/>
              <w:left w:val="single" w:color="CCCCCC" w:sz="4"/>
              <w:bottom w:val="single" w:color="CCCCCC" w:sz="4"/>
              <w:right w:val="single" w:color="CCCCCC" w:sz="4"/>
            </w:tcBorders>
            <w:shd w:fill="E5E7EB" w:val="clear"/>
            <w:tcMar>
              <w:top w:type="dxa" w:w="80"/>
              <w:left w:type="dxa" w:w="120"/>
              <w:bottom w:type="dxa" w:w="80"/>
              <w:right w:type="dxa" w:w="120"/>
            </w:tcMar>
          </w:tcPr>
          <w:p>
            <w:r>
              <w:rPr>
                <w:b/>
                <w:bCs/>
                <w:sz w:val="20"/>
                <w:szCs w:val="20"/>
              </w:rPr>
              <w:t xml:space="preserve">Servicio</w:t>
            </w:r>
          </w:p>
        </w:tc>
        <w:tc>
          <w:tcPr>
            <w:tcW w:type="dxa" w:w="2340"/>
            <w:tcBorders>
              <w:top w:val="single" w:color="CCCCCC" w:sz="4"/>
              <w:left w:val="single" w:color="CCCCCC" w:sz="4"/>
              <w:bottom w:val="single" w:color="CCCCCC" w:sz="4"/>
              <w:right w:val="single" w:color="CCCCCC" w:sz="4"/>
            </w:tcBorders>
            <w:shd w:fill="E5E7EB" w:val="clear"/>
            <w:tcMar>
              <w:top w:type="dxa" w:w="80"/>
              <w:left w:type="dxa" w:w="120"/>
              <w:bottom w:type="dxa" w:w="80"/>
              <w:right w:type="dxa" w:w="120"/>
            </w:tcMar>
          </w:tcPr>
          <w:p>
            <w:r>
              <w:rPr>
                <w:b/>
                <w:bCs/>
                <w:sz w:val="20"/>
                <w:szCs w:val="20"/>
              </w:rPr>
              <w:t xml:space="preserve">País</w:t>
            </w:r>
          </w:p>
        </w:tc>
        <w:tc>
          <w:tcPr>
            <w:tcW w:type="dxa" w:w="2340"/>
            <w:tcBorders>
              <w:top w:val="single" w:color="CCCCCC" w:sz="4"/>
              <w:left w:val="single" w:color="CCCCCC" w:sz="4"/>
              <w:bottom w:val="single" w:color="CCCCCC" w:sz="4"/>
              <w:right w:val="single" w:color="CCCCCC" w:sz="4"/>
            </w:tcBorders>
            <w:shd w:fill="E5E7EB" w:val="clear"/>
            <w:tcMar>
              <w:top w:type="dxa" w:w="80"/>
              <w:left w:type="dxa" w:w="120"/>
              <w:bottom w:type="dxa" w:w="80"/>
              <w:right w:type="dxa" w:w="120"/>
            </w:tcMar>
          </w:tcPr>
          <w:p>
            <w:r>
              <w:rPr>
                <w:b/>
                <w:bCs/>
                <w:sz w:val="20"/>
                <w:szCs w:val="20"/>
              </w:rPr>
              <w:t xml:space="preserve">DPA aplicable</w:t>
            </w:r>
          </w:p>
        </w:tc>
      </w:tr>
      <w:tr>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Supabase</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Base de datos</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EE.UU.</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DPA estándar + CCM AAIP</w:t>
            </w:r>
          </w:p>
        </w:tc>
      </w:tr>
      <w:tr>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Vercel</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Hosting / CDN</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EE.UU. / global</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DPA estándar + CCM AAIP</w:t>
            </w:r>
          </w:p>
        </w:tc>
      </w:tr>
      <w:tr>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Mercado Pago</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Pagos</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Argentina / región</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Contrato integración</w:t>
            </w:r>
          </w:p>
        </w:tc>
      </w:tr>
      <w:tr>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Meta / WhatsApp</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Notificaciones</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EE.UU.</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DPA estándar + CCM AAIP</w:t>
            </w:r>
          </w:p>
        </w:tc>
      </w:tr>
      <w:tr>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[Proveedor de email]</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Envío de correos</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[País]</w:t>
            </w:r>
          </w:p>
        </w:tc>
        <w:tc>
          <w:tcPr>
            <w:tcW w:type="dxa" w:w="23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val="false"/>
                <w:bCs w:val="false"/>
                <w:sz w:val="20"/>
                <w:szCs w:val="20"/>
              </w:rPr>
              <w:t xml:space="preserve">DPA estándar</w:t>
            </w:r>
          </w:p>
        </w:tc>
      </w:tr>
    </w:tbl>
    <w:p>
      <w:r>
        <w:t xml:space="preserve"/>
      </w:r>
    </w:p>
    <w:p>
      <w:pPr>
        <w:spacing w:after="120"/>
      </w:pPr>
      <w:r>
        <w:t xml:space="preserve">8.3. El Encargado impone a cada subprocesador obligaciones de protección de datos equivalentes a las del presente Acuerdo, mediante DPA escritos. El Encargado responde frente al Responsable por el cumplimiento de los subprocesadores.</w:t>
      </w:r>
    </w:p>
    <w:p>
      <w:pPr>
        <w:spacing w:after="120"/>
      </w:pPr>
      <w:r>
        <w:t xml:space="preserve">8.4. Cambios de subprocesadores. El Encargado notificará con un preaviso de [30] días cualquier incorporación o sustitución de subprocesadores materiales. El Responsable podrá oponerse por razones fundadas; en tal caso, las partes buscarán una solución alternativa y, de no alcanzarla, el Responsable podrá rescindir el Servicio.</w:t>
      </w:r>
    </w:p>
    <w:p>
      <w:pPr>
        <w:pStyle w:val="Heading1"/>
      </w:pPr>
      <w:r>
        <w:t xml:space="preserve">9. Transferencia Internacional de Datos</w:t>
      </w:r>
    </w:p>
    <w:p>
      <w:pPr>
        <w:spacing w:after="120"/>
      </w:pPr>
      <w:r>
        <w:t xml:space="preserve">9.1. Las transferencias a países que no cuenten con calificación de adecuación reconocida por la AAIP (p. ej. Estados Unidos, para los servicios de Supabase, Vercel y Meta) se realizan amparadas en Cláusulas Contractuales Modelo conforme el artículo 12 de la Ley N° 25.326 y las Resoluciones AAIP aplicables.</w:t>
      </w:r>
    </w:p>
    <w:p>
      <w:pPr>
        <w:spacing w:after="120"/>
      </w:pPr>
      <w:r>
        <w:t xml:space="preserve">9.2. El Encargado pone a disposición del Responsable, previa solicitud, copia de las Cláusulas Contractuales Modelo suscriptas con cada subprocesador internacional.</w:t>
      </w:r>
    </w:p>
    <w:p>
      <w:pPr>
        <w:pStyle w:val="Heading1"/>
      </w:pPr>
      <w:r>
        <w:t xml:space="preserve">10. Medidas de Seguridad (Anexo A)</w:t>
      </w:r>
    </w:p>
    <w:p>
      <w:pPr>
        <w:spacing w:after="120"/>
      </w:pPr>
      <w:r>
        <w:t xml:space="preserve">El Encargado aplica, como mínimo, las siguientes medidas:</w:t>
      </w:r>
    </w:p>
    <w:p>
      <w:pPr>
        <w:pStyle w:val="ListParagraph"/>
        <w:numPr>
          <w:ilvl w:val="0"/>
          <w:numId w:val="2"/>
        </w:numPr>
        <w:spacing w:after="80"/>
      </w:pPr>
      <w:r>
        <w:t xml:space="preserve">Cifrado en tránsito (TLS) y cifrado en reposo donde el proveedor lo ofrezca.</w:t>
      </w:r>
    </w:p>
    <w:p>
      <w:pPr>
        <w:pStyle w:val="ListParagraph"/>
        <w:numPr>
          <w:ilvl w:val="0"/>
          <w:numId w:val="2"/>
        </w:numPr>
        <w:spacing w:after="80"/>
      </w:pPr>
      <w:r>
        <w:t xml:space="preserve">Control de acceso basado en roles; Row Level Security por negocio a nivel de base de datos.</w:t>
      </w:r>
    </w:p>
    <w:p>
      <w:pPr>
        <w:pStyle w:val="ListParagraph"/>
        <w:numPr>
          <w:ilvl w:val="0"/>
          <w:numId w:val="2"/>
        </w:numPr>
        <w:spacing w:after="80"/>
      </w:pPr>
      <w:r>
        <w:t xml:space="preserve">Contraseñas con hash irreversible.</w:t>
      </w:r>
    </w:p>
    <w:p>
      <w:pPr>
        <w:pStyle w:val="ListParagraph"/>
        <w:numPr>
          <w:ilvl w:val="0"/>
          <w:numId w:val="2"/>
        </w:numPr>
        <w:spacing w:after="80"/>
      </w:pPr>
      <w:r>
        <w:t xml:space="preserve">Cifrado AES-256 de credenciales de integraciones (Mercado Pago, WhatsApp).</w:t>
      </w:r>
    </w:p>
    <w:p>
      <w:pPr>
        <w:pStyle w:val="ListParagraph"/>
        <w:numPr>
          <w:ilvl w:val="0"/>
          <w:numId w:val="2"/>
        </w:numPr>
        <w:spacing w:after="80"/>
      </w:pPr>
      <w:r>
        <w:t xml:space="preserve">Registro y monitoreo de acceso.</w:t>
      </w:r>
    </w:p>
    <w:p>
      <w:pPr>
        <w:pStyle w:val="ListParagraph"/>
        <w:numPr>
          <w:ilvl w:val="0"/>
          <w:numId w:val="2"/>
        </w:numPr>
        <w:spacing w:after="80"/>
      </w:pPr>
      <w:r>
        <w:t xml:space="preserve">Copias de seguridad automáticas.</w:t>
      </w:r>
    </w:p>
    <w:p>
      <w:pPr>
        <w:pStyle w:val="ListParagraph"/>
        <w:numPr>
          <w:ilvl w:val="0"/>
          <w:numId w:val="2"/>
        </w:numPr>
        <w:spacing w:after="80"/>
      </w:pPr>
      <w:r>
        <w:t xml:space="preserve">Actualización periódica de dependencias y gestión de vulnerabilidades.</w:t>
      </w:r>
    </w:p>
    <w:p>
      <w:pPr>
        <w:pStyle w:val="ListParagraph"/>
        <w:numPr>
          <w:ilvl w:val="0"/>
          <w:numId w:val="2"/>
        </w:numPr>
        <w:spacing w:after="80"/>
      </w:pPr>
      <w:r>
        <w:t xml:space="preserve">Plan de respuesta a incidentes documentado.</w:t>
      </w:r>
    </w:p>
    <w:p>
      <w:pPr>
        <w:pStyle w:val="Heading1"/>
      </w:pPr>
      <w:r>
        <w:t xml:space="preserve">11. Devolución y Eliminación de Datos</w:t>
      </w:r>
    </w:p>
    <w:p>
      <w:pPr>
        <w:spacing w:after="120"/>
      </w:pPr>
      <w:r>
        <w:t xml:space="preserve">11.1. Al término de la prestación del Servicio, a elección del Responsable, el Encargado devolverá los datos en formato estructurado y/o los eliminará, salvo obligación legal de conservación.</w:t>
      </w:r>
    </w:p>
    <w:p>
      <w:pPr>
        <w:spacing w:after="120"/>
      </w:pPr>
      <w:r>
        <w:t xml:space="preserve">11.2. Por defecto, los datos se mantienen disponibles por un plazo de treinta (30) días desde la baja, a efectos de exportación. Transcurrido ese plazo, serán eliminados de los sistemas productivos del Encargado. Copias de respaldo pueden persistir por el plazo de retención de los proveedores, tras el cual serán eliminadas de forma automática.</w:t>
      </w:r>
    </w:p>
    <w:p>
      <w:pPr>
        <w:pStyle w:val="Heading1"/>
      </w:pPr>
      <w:r>
        <w:t xml:space="preserve">12. Auditorías y Demostración de Cumplimiento</w:t>
      </w:r>
    </w:p>
    <w:p>
      <w:pPr>
        <w:spacing w:after="120"/>
      </w:pPr>
      <w:r>
        <w:t xml:space="preserve">12.1. El Encargado pondrá a disposición del Responsable la información razonable para demostrar el cumplimiento de este Acuerdo, incluyendo resúmenes de controles, políticas de seguridad y certificaciones de subprocesadores.</w:t>
      </w:r>
    </w:p>
    <w:p>
      <w:pPr>
        <w:spacing w:after="120"/>
      </w:pPr>
      <w:r>
        <w:t xml:space="preserve">12.2. El Responsable podrá solicitar auditorías, con un preaviso razonable, en horario laboral y con compromiso de confidencialidad. El Encargado podrá proponer alternativas equivalentes (reportes de terceros, cuestionarios estructurados) cuando la auditoría in situ resulte desproporcionada.</w:t>
      </w:r>
    </w:p>
    <w:p>
      <w:pPr>
        <w:pStyle w:val="Heading1"/>
      </w:pPr>
      <w:r>
        <w:t xml:space="preserve">13. Gestión de Incidentes</w:t>
      </w:r>
    </w:p>
    <w:p>
      <w:pPr>
        <w:spacing w:after="120"/>
      </w:pPr>
      <w:r>
        <w:t xml:space="preserve">13.1. El Encargado notificará al Responsable, por correo electrónico al punto de contacto registrado, los incidentes que afecten datos tratados por cuenta del Responsable, sin demora indebida y a más tardar dentro de las setenta y dos (72) horas de tomar conocimiento, indicando: (i) naturaleza del incidente, (ii) categorías y volumen aproximado de datos afectados, (iii) posibles consecuencias, (iv) medidas adoptadas o propuestas.</w:t>
      </w:r>
    </w:p>
    <w:p>
      <w:pPr>
        <w:spacing w:after="120"/>
      </w:pPr>
      <w:r>
        <w:t xml:space="preserve">13.2. El Responsable es el único responsable de notificar a los Usuarios Finales y, cuando corresponda, a la AAIP. El Encargado asistirá razonablemente al Responsable en esta tarea.</w:t>
      </w:r>
    </w:p>
    <w:p>
      <w:pPr>
        <w:pStyle w:val="Heading1"/>
      </w:pPr>
      <w:r>
        <w:t xml:space="preserve">14. Responsabilidad y Limitación</w:t>
      </w:r>
    </w:p>
    <w:p>
      <w:pPr>
        <w:spacing w:after="120"/>
      </w:pPr>
      <w:r>
        <w:t xml:space="preserve">14.1. Cada parte responderá por los daños que cause al titular de los datos en el ámbito de sus respectivas obligaciones.</w:t>
      </w:r>
    </w:p>
    <w:p>
      <w:pPr>
        <w:spacing w:after="120"/>
      </w:pPr>
      <w:r>
        <w:t xml:space="preserve">14.2. La responsabilidad del Encargado en los términos del presente Acuerdo se rige por los límites establecidos en los Términos y Condiciones del Servicio, con las excepciones allí previstas (dolo, culpa grave, daños personales, orden público de consumo, infracciones a la normativa de datos).</w:t>
      </w:r>
    </w:p>
    <w:p>
      <w:pPr>
        <w:pStyle w:val="Heading1"/>
      </w:pPr>
      <w:r>
        <w:t xml:space="preserve">15. Vigencia y Terminación</w:t>
      </w:r>
    </w:p>
    <w:p>
      <w:pPr>
        <w:spacing w:after="120"/>
      </w:pPr>
      <w:r>
        <w:t xml:space="preserve">15.1. Este Acuerdo entra en vigencia al inicio de la prestación del Servicio y se mantiene mientras esta continúe.</w:t>
      </w:r>
    </w:p>
    <w:p>
      <w:pPr>
        <w:spacing w:after="120"/>
      </w:pPr>
      <w:r>
        <w:t xml:space="preserve">15.2. La terminación del Servicio implica la terminación de este Acuerdo, sin perjuicio de las obligaciones de confidencialidad, devolución/eliminación de datos y asistencia en solicitudes pendientes.</w:t>
      </w:r>
    </w:p>
    <w:p>
      <w:pPr>
        <w:pStyle w:val="Heading1"/>
      </w:pPr>
      <w:r>
        <w:t xml:space="preserve">16. Ley Aplicable y Jurisdicción</w:t>
      </w:r>
    </w:p>
    <w:p>
      <w:pPr>
        <w:spacing w:after="120"/>
      </w:pPr>
      <w:r>
        <w:t xml:space="preserve">16.1. Este Acuerdo se rige por las leyes de la República Argentina.</w:t>
      </w:r>
    </w:p>
    <w:p>
      <w:pPr>
        <w:spacing w:after="120"/>
      </w:pPr>
      <w:r>
        <w:t xml:space="preserve">16.2. La jurisdicción se rige por lo dispuesto en los Términos y Condiciones del Servicio, respetando la jurisdicción concurrente prevista para Consumidores.</w:t>
      </w:r>
    </w:p>
    <w:p>
      <w:pPr>
        <w:pStyle w:val="Heading1"/>
      </w:pPr>
      <w:r>
        <w:t xml:space="preserve">17. Puntos de Contacto</w:t>
      </w:r>
    </w:p>
    <w:p>
      <w:pPr>
        <w:spacing w:after="120"/>
      </w:pPr>
      <w:r>
        <w:t xml:space="preserve">Por parte del Encargado: [EMAIL DE PRIVACIDAD] / [NOMBRE RESPONSABLE INTERNO].</w:t>
      </w:r>
    </w:p>
    <w:p>
      <w:pPr>
        <w:spacing w:after="120"/>
      </w:pPr>
      <w:r>
        <w:t xml:space="preserve">Por parte del Responsable: el correo electrónico registrado en la cuenta, o el designado por escrito.</w:t>
      </w:r>
    </w:p>
    <w:p>
      <w:r>
        <w:t xml:space="preserve"/>
      </w:r>
    </w:p>
    <w:p>
      <w:pPr>
        <w:spacing w:after="240" w:before="120"/>
      </w:pPr>
      <w:r>
        <w:rPr>
          <w:i/>
          <w:iCs/>
          <w:color w:val="B91C1C"/>
        </w:rPr>
        <w:t xml:space="preserve">Checklist para el abogado: (i) armonizar plazo de notificación de incidentes con la normativa AAIP vigente; (ii) confirmar la referencia Res. 60/2016 AAIP en materia de transferencia internacional; (iii) revisar listado de subprocesadores; (iv) confirmar redacción de 14.2 en línea con los T&amp;C.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Arial" w:cs="Arial" w:eastAsia="Arial" w:hAnsi="Arial"/>
      <w:b/>
      <w:bCs/>
      <w:color w:val="111111"/>
      <w:sz w:val="28"/>
      <w:szCs w:val="28"/>
    </w:rPr>
  </w:style>
  <w:style w:type="paragraph" w:styleId="Heading2">
    <w:name w:val="Heading 2"/>
    <w:basedOn w:val="Normal"/>
    <w:next w:val="Normal"/>
    <w:qFormat/>
    <w:pPr>
      <w:spacing w:after="120" w:before="200"/>
      <w:outlineLvl w:val="1"/>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DPA - [NOMBRE DEL SERVICIO]</dc:title>
  <dc:creator>Diego Severini</dc:creator>
  <cp:lastModifiedBy>Un-named</cp:lastModifiedBy>
  <cp:revision>1</cp:revision>
  <dcterms:created xsi:type="dcterms:W3CDTF">2026-04-23T01:04:21.573Z</dcterms:created>
  <dcterms:modified xsi:type="dcterms:W3CDTF">2026-04-23T01:04:21.573Z</dcterms:modified>
</cp:coreProperties>
</file>

<file path=docProps/custom.xml><?xml version="1.0" encoding="utf-8"?>
<Properties xmlns="http://schemas.openxmlformats.org/officeDocument/2006/custom-properties" xmlns:vt="http://schemas.openxmlformats.org/officeDocument/2006/docPropsVTypes"/>
</file>