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color w:val="0F172A"/>
          <w:sz w:val="32"/>
          <w:szCs w:val="32"/>
        </w:rPr>
        <w:t xml:space="preserve">POLÍTICA DE COOKIES — OMNIBOOKING</w:t>
      </w:r>
    </w:p>
    <w:p>
      <w:pPr>
        <w:spacing w:after="240" w:before="120"/>
      </w:pPr>
      <w:r>
        <w:rPr>
          <w:i/>
          <w:iCs/>
          <w:color w:val="B91C1C"/>
        </w:rPr>
        <w:t xml:space="preserve">[PENDIENTE DE REVISIÓN LEGAL — Borrador para asesoría jurídica. Última actualización: 22/04/2026]</w:t>
      </w:r>
    </w:p>
    <w:p>
      <w:pPr>
        <w:pStyle w:val="Heading1"/>
        <w:spacing w:after="160" w:before="320"/>
      </w:pPr>
      <w:r>
        <w:rPr>
          <w:b/>
          <w:bCs/>
          <w:color w:val="0F172A"/>
          <w:sz w:val="28"/>
          <w:szCs w:val="28"/>
        </w:rPr>
        <w:t xml:space="preserve">1. ¿Qué son las cookies?</w:t>
      </w:r>
    </w:p>
    <w:p>
      <w:pPr>
        <w:spacing w:after="120"/>
        <w:jc w:val="both"/>
      </w:pPr>
      <w:r>
        <w:t xml:space="preserve">Las cookies son pequeños archivos de texto que los sitios web depositan en el navegador del usuario para almacenar información. Junto a ellas, utilizamos tecnologías similares como localStorage, sessionStorage e identificadores del dispositivo, que en esta política tratamos colectivamente como "Cookies".</w:t>
      </w:r>
    </w:p>
    <w:p>
      <w:pPr>
        <w:spacing w:after="120"/>
        <w:jc w:val="both"/>
      </w:pPr>
      <w:r>
        <w:t xml:space="preserve">OmniBooking utiliza Cookies con el único objetivo de que la plataforma funcione correctamente y de recordar las preferencias del usuario. Actualmente no utilizamos Cookies de marketing, publicidad de terceros ni rastreo cross-site con fines comerciales.</w:t>
      </w:r>
    </w:p>
    <w:p>
      <w:pPr>
        <w:pStyle w:val="Heading1"/>
        <w:spacing w:after="160" w:before="320"/>
      </w:pPr>
      <w:r>
        <w:rPr>
          <w:b/>
          <w:bCs/>
          <w:color w:val="0F172A"/>
          <w:sz w:val="28"/>
          <w:szCs w:val="28"/>
        </w:rPr>
        <w:t xml:space="preserve">2. Base legal</w:t>
      </w:r>
    </w:p>
    <w:p>
      <w:pPr>
        <w:spacing w:after="120"/>
        <w:jc w:val="both"/>
      </w:pPr>
      <w:r>
        <w:t xml:space="preserve">Esta Política se rige por la Ley 25.326 de Protección de Datos Personales, la Ley 26.951 y disposiciones concordantes de la AAIP (Agencia de Acceso a la Información Pública), así como por los principios aplicables de transparencia y consentimiento informado.</w:t>
      </w:r>
    </w:p>
    <w:p>
      <w:pPr>
        <w:spacing w:after="120"/>
        <w:jc w:val="both"/>
      </w:pPr>
      <w:r>
        <w:t xml:space="preserve">Para Cookies de preferencias y técnicas esenciales, la base legal es el interés legítimo y la ejecución del contrato (uso normal de la plataforma). Para cualquier Cookie no esencial que se agregue en el futuro (analítica avanzada, marketing), se requerirá consentimiento previo, libre, informado e inequívoco del usuario mediante un banner que permita aceptar, rechazar o configurar por categoría.</w:t>
      </w:r>
    </w:p>
    <w:p>
      <w:pPr>
        <w:pStyle w:val="Heading1"/>
        <w:spacing w:after="160" w:before="320"/>
      </w:pPr>
      <w:r>
        <w:rPr>
          <w:b/>
          <w:bCs/>
          <w:color w:val="0F172A"/>
          <w:sz w:val="28"/>
          <w:szCs w:val="28"/>
        </w:rPr>
        <w:t xml:space="preserve">3. Categorías de Cookies que utilizamos</w:t>
      </w:r>
    </w:p>
    <w:p>
      <w:pPr>
        <w:pStyle w:val="Heading2"/>
        <w:spacing w:after="120" w:before="240"/>
      </w:pPr>
      <w:r>
        <w:rPr>
          <w:b/>
          <w:bCs/>
          <w:color w:val="1E293B"/>
          <w:sz w:val="24"/>
          <w:szCs w:val="24"/>
        </w:rPr>
        <w:t xml:space="preserve">3.1 Técnicas / estrictamente necesarias</w:t>
      </w:r>
    </w:p>
    <w:p>
      <w:pPr>
        <w:spacing w:after="120"/>
        <w:jc w:val="both"/>
      </w:pPr>
      <w:r>
        <w:t xml:space="preserve">Indispensables para que la plataforma funcione. No pueden desactivarse sin perder funcionalidad crítica. Incluyen las cookies de sesión de autenticación (Supabase), las cookies de protección de infraestructura (Vercel) y las de procesamiento de pagos (Mercado Pago Checkout Pro).</w:t>
      </w:r>
    </w:p>
    <w:p>
      <w:pPr>
        <w:pStyle w:val="Heading2"/>
        <w:spacing w:after="120" w:before="240"/>
      </w:pPr>
      <w:r>
        <w:rPr>
          <w:b/>
          <w:bCs/>
          <w:color w:val="1E293B"/>
          <w:sz w:val="24"/>
          <w:szCs w:val="24"/>
        </w:rPr>
        <w:t xml:space="preserve">3.2 De preferencias</w:t>
      </w:r>
    </w:p>
    <w:p>
      <w:pPr>
        <w:spacing w:after="120"/>
        <w:jc w:val="both"/>
      </w:pPr>
      <w:r>
        <w:t xml:space="preserve">Almacenan elecciones del usuario para mejorar la experiencia: tema visual, idioma, tours guiados completados, estado del onboarding. Se guardan principalmente en localStorage del navegador.</w:t>
      </w:r>
    </w:p>
    <w:p>
      <w:pPr>
        <w:pStyle w:val="Heading2"/>
        <w:spacing w:after="120" w:before="240"/>
      </w:pPr>
      <w:r>
        <w:rPr>
          <w:b/>
          <w:bCs/>
          <w:color w:val="1E293B"/>
          <w:sz w:val="24"/>
          <w:szCs w:val="24"/>
        </w:rPr>
        <w:t xml:space="preserve">3.3 Analíticas propias (internas)</w:t>
      </w:r>
    </w:p>
    <w:p>
      <w:pPr>
        <w:spacing w:after="120"/>
        <w:jc w:val="both"/>
      </w:pPr>
      <w:r>
        <w:t xml:space="preserve">Métricas agregadas y anonimizadas sobre uso de la plataforma (cantidad de bookings creados, tasas de conversión), almacenadas en nuestra base de datos, no en el navegador del usuario. No generan perfiles individuales fuera del contexto del negocio (Cliente).</w:t>
      </w:r>
    </w:p>
    <w:p>
      <w:pPr>
        <w:pStyle w:val="Heading2"/>
        <w:spacing w:after="120" w:before="240"/>
      </w:pPr>
      <w:r>
        <w:rPr>
          <w:b/>
          <w:bCs/>
          <w:color w:val="1E293B"/>
          <w:sz w:val="24"/>
          <w:szCs w:val="24"/>
        </w:rPr>
        <w:t xml:space="preserve">3.4 De terceros</w:t>
      </w:r>
    </w:p>
    <w:p>
      <w:pPr>
        <w:spacing w:after="120"/>
        <w:jc w:val="both"/>
      </w:pPr>
      <w:r>
        <w:t xml:space="preserve">Algunas funcionalidades cargan recursos de proveedores externos (Google Fonts, api.qrserver.com, Mercado Pago, Meta WhatsApp) que pueden depositar Cookies propias. Estos terceros actúan bajo sus propias políticas de privacidad y cookies, cuyos enlaces incluimos a continuación.</w:t>
      </w:r>
    </w:p>
    <w:p>
      <w:pPr>
        <w:pStyle w:val="Heading1"/>
        <w:spacing w:after="160" w:before="320"/>
      </w:pPr>
      <w:r>
        <w:rPr>
          <w:b/>
          <w:bCs/>
          <w:color w:val="0F172A"/>
          <w:sz w:val="28"/>
          <w:szCs w:val="28"/>
        </w:rPr>
        <w:t xml:space="preserve">4. Detalle de Cookies utilizadas</w:t>
      </w:r>
    </w:p>
    <w:p>
      <w:pPr>
        <w:spacing w:after="120"/>
        <w:jc w:val="both"/>
      </w:pPr>
      <w:r>
        <w:t xml:space="preserve">A continuación se detallan las principales Cookies que puede encontrar un usuario al interactuar con OmniBooking. Esta lista se actualiza cada vez que incorporamos o retiramos una tecnología, con fecha visible al final del documento.</w:t>
      </w:r>
    </w:p>
    <w:p>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00"/>
            <w:shd w:fill="0F172A" w:color="0F172A" w:val="solid"/>
          </w:tcPr>
          <w:p>
            <w:r>
              <w:rPr>
                <w:b/>
                <w:bCs/>
                <w:color w:val="FFFFFF"/>
                <w:sz w:val="20"/>
                <w:szCs w:val="20"/>
              </w:rPr>
              <w:t xml:space="preserve">Cookie / Tecnología</w:t>
            </w:r>
          </w:p>
        </w:tc>
        <w:tc>
          <w:tcPr>
            <w:tcW w:type="dxa" w:w="1500"/>
            <w:shd w:fill="0F172A" w:color="0F172A" w:val="solid"/>
          </w:tcPr>
          <w:p>
            <w:r>
              <w:rPr>
                <w:b/>
                <w:bCs/>
                <w:color w:val="FFFFFF"/>
                <w:sz w:val="20"/>
                <w:szCs w:val="20"/>
              </w:rPr>
              <w:t xml:space="preserve">Categoría</w:t>
            </w:r>
          </w:p>
        </w:tc>
        <w:tc>
          <w:tcPr>
            <w:tcW w:type="dxa" w:w="3300"/>
            <w:shd w:fill="0F172A" w:color="0F172A" w:val="solid"/>
          </w:tcPr>
          <w:p>
            <w:r>
              <w:rPr>
                <w:b/>
                <w:bCs/>
                <w:color w:val="FFFFFF"/>
                <w:sz w:val="20"/>
                <w:szCs w:val="20"/>
              </w:rPr>
              <w:t xml:space="preserve">Finalidad</w:t>
            </w:r>
          </w:p>
        </w:tc>
        <w:tc>
          <w:tcPr>
            <w:tcW w:type="dxa" w:w="2000"/>
            <w:shd w:fill="0F172A" w:color="0F172A" w:val="solid"/>
          </w:tcPr>
          <w:p>
            <w:r>
              <w:rPr>
                <w:b/>
                <w:bCs/>
                <w:color w:val="FFFFFF"/>
                <w:sz w:val="20"/>
                <w:szCs w:val="20"/>
              </w:rPr>
              <w:t xml:space="preserve">Duración</w:t>
            </w:r>
          </w:p>
        </w:tc>
      </w:tr>
      <w:tr>
        <w:tc>
          <w:tcPr>
            <w:tcW w:type="dxa" w:w="2200"/>
          </w:tcPr>
          <w:p>
            <w:r>
              <w:rPr>
                <w:sz w:val="20"/>
                <w:szCs w:val="20"/>
              </w:rPr>
              <w:t xml:space="preserve">sb-access-token / sb-refresh-token</w:t>
            </w:r>
          </w:p>
        </w:tc>
        <w:tc>
          <w:tcPr>
            <w:tcW w:type="dxa" w:w="1500"/>
          </w:tcPr>
          <w:p>
            <w:r>
              <w:rPr>
                <w:sz w:val="20"/>
                <w:szCs w:val="20"/>
              </w:rPr>
              <w:t xml:space="preserve">Técnica</w:t>
            </w:r>
          </w:p>
        </w:tc>
        <w:tc>
          <w:tcPr>
            <w:tcW w:type="dxa" w:w="3300"/>
          </w:tcPr>
          <w:p>
            <w:r>
              <w:rPr>
                <w:sz w:val="20"/>
                <w:szCs w:val="20"/>
              </w:rPr>
              <w:t xml:space="preserve">Mantener sesión autenticada (Supabase Auth)</w:t>
            </w:r>
          </w:p>
        </w:tc>
        <w:tc>
          <w:tcPr>
            <w:tcW w:type="dxa" w:w="2000"/>
          </w:tcPr>
          <w:p>
            <w:r>
              <w:rPr>
                <w:sz w:val="20"/>
                <w:szCs w:val="20"/>
              </w:rPr>
              <w:t xml:space="preserve">Sesión / 7 días</w:t>
            </w:r>
          </w:p>
        </w:tc>
      </w:tr>
      <w:tr>
        <w:tc>
          <w:tcPr>
            <w:tcW w:type="dxa" w:w="2200"/>
          </w:tcPr>
          <w:p>
            <w:r>
              <w:rPr>
                <w:sz w:val="20"/>
                <w:szCs w:val="20"/>
              </w:rPr>
              <w:t xml:space="preserve">omnibooking_theme</w:t>
            </w:r>
          </w:p>
        </w:tc>
        <w:tc>
          <w:tcPr>
            <w:tcW w:type="dxa" w:w="1500"/>
          </w:tcPr>
          <w:p>
            <w:r>
              <w:rPr>
                <w:sz w:val="20"/>
                <w:szCs w:val="20"/>
              </w:rPr>
              <w:t xml:space="preserve">Preferencias</w:t>
            </w:r>
          </w:p>
        </w:tc>
        <w:tc>
          <w:tcPr>
            <w:tcW w:type="dxa" w:w="3300"/>
          </w:tcPr>
          <w:p>
            <w:r>
              <w:rPr>
                <w:sz w:val="20"/>
                <w:szCs w:val="20"/>
              </w:rPr>
              <w:t xml:space="preserve">Recordar tema visual elegido (claro / oscuro)</w:t>
            </w:r>
          </w:p>
        </w:tc>
        <w:tc>
          <w:tcPr>
            <w:tcW w:type="dxa" w:w="2000"/>
          </w:tcPr>
          <w:p>
            <w:r>
              <w:rPr>
                <w:sz w:val="20"/>
                <w:szCs w:val="20"/>
              </w:rPr>
              <w:t xml:space="preserve">1 año</w:t>
            </w:r>
          </w:p>
        </w:tc>
      </w:tr>
      <w:tr>
        <w:tc>
          <w:tcPr>
            <w:tcW w:type="dxa" w:w="2200"/>
          </w:tcPr>
          <w:p>
            <w:r>
              <w:rPr>
                <w:sz w:val="20"/>
                <w:szCs w:val="20"/>
              </w:rPr>
              <w:t xml:space="preserve">onboarding_dismissed</w:t>
            </w:r>
          </w:p>
        </w:tc>
        <w:tc>
          <w:tcPr>
            <w:tcW w:type="dxa" w:w="1500"/>
          </w:tcPr>
          <w:p>
            <w:r>
              <w:rPr>
                <w:sz w:val="20"/>
                <w:szCs w:val="20"/>
              </w:rPr>
              <w:t xml:space="preserve">Preferencias</w:t>
            </w:r>
          </w:p>
        </w:tc>
        <w:tc>
          <w:tcPr>
            <w:tcW w:type="dxa" w:w="3300"/>
          </w:tcPr>
          <w:p>
            <w:r>
              <w:rPr>
                <w:sz w:val="20"/>
                <w:szCs w:val="20"/>
              </w:rPr>
              <w:t xml:space="preserve">Recordar que el usuario cerró el tour guiado</w:t>
            </w:r>
          </w:p>
        </w:tc>
        <w:tc>
          <w:tcPr>
            <w:tcW w:type="dxa" w:w="2000"/>
          </w:tcPr>
          <w:p>
            <w:r>
              <w:rPr>
                <w:sz w:val="20"/>
                <w:szCs w:val="20"/>
              </w:rPr>
              <w:t xml:space="preserve">1 año (localStorage)</w:t>
            </w:r>
          </w:p>
        </w:tc>
      </w:tr>
      <w:tr>
        <w:tc>
          <w:tcPr>
            <w:tcW w:type="dxa" w:w="2200"/>
          </w:tcPr>
          <w:p>
            <w:r>
              <w:rPr>
                <w:sz w:val="20"/>
                <w:szCs w:val="20"/>
              </w:rPr>
              <w:t xml:space="preserve">tour_completed_*</w:t>
            </w:r>
          </w:p>
        </w:tc>
        <w:tc>
          <w:tcPr>
            <w:tcW w:type="dxa" w:w="1500"/>
          </w:tcPr>
          <w:p>
            <w:r>
              <w:rPr>
                <w:sz w:val="20"/>
                <w:szCs w:val="20"/>
              </w:rPr>
              <w:t xml:space="preserve">Preferencias</w:t>
            </w:r>
          </w:p>
        </w:tc>
        <w:tc>
          <w:tcPr>
            <w:tcW w:type="dxa" w:w="3300"/>
          </w:tcPr>
          <w:p>
            <w:r>
              <w:rPr>
                <w:sz w:val="20"/>
                <w:szCs w:val="20"/>
              </w:rPr>
              <w:t xml:space="preserve">Marcar tours ya completados (13 tours)</w:t>
            </w:r>
          </w:p>
        </w:tc>
        <w:tc>
          <w:tcPr>
            <w:tcW w:type="dxa" w:w="2000"/>
          </w:tcPr>
          <w:p>
            <w:r>
              <w:rPr>
                <w:sz w:val="20"/>
                <w:szCs w:val="20"/>
              </w:rPr>
              <w:t xml:space="preserve">Persistente (localStorage)</w:t>
            </w:r>
          </w:p>
        </w:tc>
      </w:tr>
      <w:tr>
        <w:tc>
          <w:tcPr>
            <w:tcW w:type="dxa" w:w="2200"/>
          </w:tcPr>
          <w:p>
            <w:r>
              <w:rPr>
                <w:sz w:val="20"/>
                <w:szCs w:val="20"/>
              </w:rPr>
              <w:t xml:space="preserve">_vercel_jwt (si corresponde)</w:t>
            </w:r>
          </w:p>
        </w:tc>
        <w:tc>
          <w:tcPr>
            <w:tcW w:type="dxa" w:w="1500"/>
          </w:tcPr>
          <w:p>
            <w:r>
              <w:rPr>
                <w:sz w:val="20"/>
                <w:szCs w:val="20"/>
              </w:rPr>
              <w:t xml:space="preserve">Técnica</w:t>
            </w:r>
          </w:p>
        </w:tc>
        <w:tc>
          <w:tcPr>
            <w:tcW w:type="dxa" w:w="3300"/>
          </w:tcPr>
          <w:p>
            <w:r>
              <w:rPr>
                <w:sz w:val="20"/>
                <w:szCs w:val="20"/>
              </w:rPr>
              <w:t xml:space="preserve">Protección DDoS y análisis infra (Vercel)</w:t>
            </w:r>
          </w:p>
        </w:tc>
        <w:tc>
          <w:tcPr>
            <w:tcW w:type="dxa" w:w="2000"/>
          </w:tcPr>
          <w:p>
            <w:r>
              <w:rPr>
                <w:sz w:val="20"/>
                <w:szCs w:val="20"/>
              </w:rPr>
              <w:t xml:space="preserve">Sesión</w:t>
            </w:r>
          </w:p>
        </w:tc>
      </w:tr>
      <w:tr>
        <w:tc>
          <w:tcPr>
            <w:tcW w:type="dxa" w:w="2200"/>
          </w:tcPr>
          <w:p>
            <w:r>
              <w:rPr>
                <w:sz w:val="20"/>
                <w:szCs w:val="20"/>
              </w:rPr>
              <w:t xml:space="preserve">_mp_* (en flujo de pago)</w:t>
            </w:r>
          </w:p>
        </w:tc>
        <w:tc>
          <w:tcPr>
            <w:tcW w:type="dxa" w:w="1500"/>
          </w:tcPr>
          <w:p>
            <w:r>
              <w:rPr>
                <w:sz w:val="20"/>
                <w:szCs w:val="20"/>
              </w:rPr>
              <w:t xml:space="preserve">Técnica (terceros)</w:t>
            </w:r>
          </w:p>
        </w:tc>
        <w:tc>
          <w:tcPr>
            <w:tcW w:type="dxa" w:w="3300"/>
          </w:tcPr>
          <w:p>
            <w:r>
              <w:rPr>
                <w:sz w:val="20"/>
                <w:szCs w:val="20"/>
              </w:rPr>
              <w:t xml:space="preserve">Antifraude y procesamiento de pagos (Mercado Pago)</w:t>
            </w:r>
          </w:p>
        </w:tc>
        <w:tc>
          <w:tcPr>
            <w:tcW w:type="dxa" w:w="2000"/>
          </w:tcPr>
          <w:p>
            <w:r>
              <w:rPr>
                <w:sz w:val="20"/>
                <w:szCs w:val="20"/>
              </w:rPr>
              <w:t xml:space="preserve">Según política de MP</w:t>
            </w:r>
          </w:p>
        </w:tc>
      </w:tr>
      <w:tr>
        <w:tc>
          <w:tcPr>
            <w:tcW w:type="dxa" w:w="2200"/>
          </w:tcPr>
          <w:p>
            <w:r>
              <w:rPr>
                <w:sz w:val="20"/>
                <w:szCs w:val="20"/>
              </w:rPr>
              <w:t xml:space="preserve">Google Fonts (CSS)</w:t>
            </w:r>
          </w:p>
        </w:tc>
        <w:tc>
          <w:tcPr>
            <w:tcW w:type="dxa" w:w="1500"/>
          </w:tcPr>
          <w:p>
            <w:r>
              <w:rPr>
                <w:sz w:val="20"/>
                <w:szCs w:val="20"/>
              </w:rPr>
              <w:t xml:space="preserve">Técnica (terceros)</w:t>
            </w:r>
          </w:p>
        </w:tc>
        <w:tc>
          <w:tcPr>
            <w:tcW w:type="dxa" w:w="3300"/>
          </w:tcPr>
          <w:p>
            <w:r>
              <w:rPr>
                <w:sz w:val="20"/>
                <w:szCs w:val="20"/>
              </w:rPr>
              <w:t xml:space="preserve">Cargar tipografías Inter y Plus Jakarta Sans</w:t>
            </w:r>
          </w:p>
        </w:tc>
        <w:tc>
          <w:tcPr>
            <w:tcW w:type="dxa" w:w="2000"/>
          </w:tcPr>
          <w:p>
            <w:r>
              <w:rPr>
                <w:sz w:val="20"/>
                <w:szCs w:val="20"/>
              </w:rPr>
              <w:t xml:space="preserve">Cache navegador</w:t>
            </w:r>
          </w:p>
        </w:tc>
      </w:tr>
      <w:tr>
        <w:tc>
          <w:tcPr>
            <w:tcW w:type="dxa" w:w="2200"/>
          </w:tcPr>
          <w:p>
            <w:r>
              <w:rPr>
                <w:sz w:val="20"/>
                <w:szCs w:val="20"/>
              </w:rPr>
              <w:t xml:space="preserve">api.qrserver.com</w:t>
            </w:r>
          </w:p>
        </w:tc>
        <w:tc>
          <w:tcPr>
            <w:tcW w:type="dxa" w:w="1500"/>
          </w:tcPr>
          <w:p>
            <w:r>
              <w:rPr>
                <w:sz w:val="20"/>
                <w:szCs w:val="20"/>
              </w:rPr>
              <w:t xml:space="preserve">Técnica (terceros)</w:t>
            </w:r>
          </w:p>
        </w:tc>
        <w:tc>
          <w:tcPr>
            <w:tcW w:type="dxa" w:w="3300"/>
          </w:tcPr>
          <w:p>
            <w:r>
              <w:rPr>
                <w:sz w:val="20"/>
                <w:szCs w:val="20"/>
              </w:rPr>
              <w:t xml:space="preserve">Generación de código QR para landing del negocio</w:t>
            </w:r>
          </w:p>
        </w:tc>
        <w:tc>
          <w:tcPr>
            <w:tcW w:type="dxa" w:w="2000"/>
          </w:tcPr>
          <w:p>
            <w:r>
              <w:rPr>
                <w:sz w:val="20"/>
                <w:szCs w:val="20"/>
              </w:rPr>
              <w:t xml:space="preserve">No persistente</w:t>
            </w:r>
          </w:p>
        </w:tc>
      </w:tr>
    </w:tbl>
    <w:p>
      <w:r>
        <w:t xml:space="preserve"/>
      </w:r>
    </w:p>
    <w:p>
      <w:pPr>
        <w:pStyle w:val="Heading1"/>
        <w:spacing w:after="160" w:before="320"/>
      </w:pPr>
      <w:r>
        <w:rPr>
          <w:b/>
          <w:bCs/>
          <w:color w:val="0F172A"/>
          <w:sz w:val="28"/>
          <w:szCs w:val="28"/>
        </w:rPr>
        <w:t xml:space="preserve">5. Cookies de terceros — enlaces a sus políticas</w:t>
      </w:r>
    </w:p>
    <w:p>
      <w:pPr>
        <w:pStyle w:val="ListParagraph"/>
        <w:numPr>
          <w:ilvl w:val="0"/>
          <w:numId w:val="2"/>
        </w:numPr>
        <w:spacing w:after="80"/>
      </w:pPr>
      <w:r>
        <w:t xml:space="preserve">Supabase: https://supabase.com/privacy</w:t>
      </w:r>
    </w:p>
    <w:p>
      <w:pPr>
        <w:pStyle w:val="ListParagraph"/>
        <w:numPr>
          <w:ilvl w:val="0"/>
          <w:numId w:val="2"/>
        </w:numPr>
        <w:spacing w:after="80"/>
      </w:pPr>
      <w:r>
        <w:t xml:space="preserve">Vercel: https://vercel.com/legal/privacy-policy</w:t>
      </w:r>
    </w:p>
    <w:p>
      <w:pPr>
        <w:pStyle w:val="ListParagraph"/>
        <w:numPr>
          <w:ilvl w:val="0"/>
          <w:numId w:val="2"/>
        </w:numPr>
        <w:spacing w:after="80"/>
      </w:pPr>
      <w:r>
        <w:t xml:space="preserve">Mercado Pago: https://www.mercadopago.com.ar/privacidad</w:t>
      </w:r>
    </w:p>
    <w:p>
      <w:pPr>
        <w:pStyle w:val="ListParagraph"/>
        <w:numPr>
          <w:ilvl w:val="0"/>
          <w:numId w:val="2"/>
        </w:numPr>
        <w:spacing w:after="80"/>
      </w:pPr>
      <w:r>
        <w:t xml:space="preserve">Meta (WhatsApp Business): https://www.whatsapp.com/legal/privacy-policy</w:t>
      </w:r>
    </w:p>
    <w:p>
      <w:pPr>
        <w:pStyle w:val="ListParagraph"/>
        <w:numPr>
          <w:ilvl w:val="0"/>
          <w:numId w:val="2"/>
        </w:numPr>
        <w:spacing w:after="80"/>
      </w:pPr>
      <w:r>
        <w:t xml:space="preserve">Google Fonts: https://policies.google.com/privacy</w:t>
      </w:r>
    </w:p>
    <w:p>
      <w:pPr>
        <w:pStyle w:val="Heading1"/>
        <w:spacing w:after="160" w:before="320"/>
      </w:pPr>
      <w:r>
        <w:rPr>
          <w:b/>
          <w:bCs/>
          <w:color w:val="0F172A"/>
          <w:sz w:val="28"/>
          <w:szCs w:val="28"/>
        </w:rPr>
        <w:t xml:space="preserve">6. Cómo gestionar o eliminar Cookies</w:t>
      </w:r>
    </w:p>
    <w:p>
      <w:pPr>
        <w:spacing w:after="120"/>
        <w:jc w:val="both"/>
      </w:pPr>
      <w:r>
        <w:t xml:space="preserve">El usuario puede aceptar, rechazar, bloquear o eliminar Cookies desde la configuración de su navegador. Cada navegador tiene un procedimiento distinto:</w:t>
      </w:r>
    </w:p>
    <w:p>
      <w:pPr>
        <w:pStyle w:val="ListParagraph"/>
        <w:numPr>
          <w:ilvl w:val="0"/>
          <w:numId w:val="2"/>
        </w:numPr>
        <w:spacing w:after="80"/>
      </w:pPr>
      <w:r>
        <w:t xml:space="preserve">Chrome: Configuración → Privacidad y seguridad → Cookies y otros datos de sitios</w:t>
      </w:r>
    </w:p>
    <w:p>
      <w:pPr>
        <w:pStyle w:val="ListParagraph"/>
        <w:numPr>
          <w:ilvl w:val="0"/>
          <w:numId w:val="2"/>
        </w:numPr>
        <w:spacing w:after="80"/>
      </w:pPr>
      <w:r>
        <w:t xml:space="preserve">Firefox: Ajustes → Privacidad &amp; Seguridad → Cookies y datos del sitio</w:t>
      </w:r>
    </w:p>
    <w:p>
      <w:pPr>
        <w:pStyle w:val="ListParagraph"/>
        <w:numPr>
          <w:ilvl w:val="0"/>
          <w:numId w:val="2"/>
        </w:numPr>
        <w:spacing w:after="80"/>
      </w:pPr>
      <w:r>
        <w:t xml:space="preserve">Safari: Preferencias → Privacidad → Gestionar datos de sitios web</w:t>
      </w:r>
    </w:p>
    <w:p>
      <w:pPr>
        <w:pStyle w:val="ListParagraph"/>
        <w:numPr>
          <w:ilvl w:val="0"/>
          <w:numId w:val="2"/>
        </w:numPr>
        <w:spacing w:after="80"/>
      </w:pPr>
      <w:r>
        <w:t xml:space="preserve">Edge: Configuración → Cookies y permisos del sitio</w:t>
      </w:r>
    </w:p>
    <w:p>
      <w:pPr>
        <w:spacing w:after="120"/>
        <w:jc w:val="both"/>
      </w:pPr>
      <w:r>
        <w:t xml:space="preserve">Nota: si el usuario desactiva las Cookies estrictamente necesarias, partes importantes de OmniBooking dejarán de funcionar (no podrá iniciar sesión, operar el TimeGrid ni procesar pagos).</w:t>
      </w:r>
    </w:p>
    <w:p>
      <w:pPr>
        <w:pStyle w:val="Heading1"/>
        <w:spacing w:after="160" w:before="320"/>
      </w:pPr>
      <w:r>
        <w:rPr>
          <w:b/>
          <w:bCs/>
          <w:color w:val="0F172A"/>
          <w:sz w:val="28"/>
          <w:szCs w:val="28"/>
        </w:rPr>
        <w:t xml:space="preserve">7. localStorage y sessionStorage</w:t>
      </w:r>
    </w:p>
    <w:p>
      <w:pPr>
        <w:spacing w:after="120"/>
        <w:jc w:val="both"/>
      </w:pPr>
      <w:r>
        <w:t xml:space="preserve">Adicionalmente a las Cookies HTTP, OmniBooking utiliza localStorage del navegador para guardar preferencias del usuario (tema, onboarding cerrado, tours completados). Estos datos no se envían automáticamente al servidor; permanecen en el navegador del usuario y pueden borrarse desde la opción "Borrar datos de navegación" del navegador.</w:t>
      </w:r>
    </w:p>
    <w:p>
      <w:pPr>
        <w:pStyle w:val="Heading1"/>
        <w:spacing w:after="160" w:before="320"/>
      </w:pPr>
      <w:r>
        <w:rPr>
          <w:b/>
          <w:bCs/>
          <w:color w:val="0F172A"/>
          <w:sz w:val="28"/>
          <w:szCs w:val="28"/>
        </w:rPr>
        <w:t xml:space="preserve">8. Cookies y menores de edad</w:t>
      </w:r>
    </w:p>
    <w:p>
      <w:pPr>
        <w:spacing w:after="120"/>
        <w:jc w:val="both"/>
      </w:pPr>
      <w:r>
        <w:t xml:space="preserve">OmniBooking no está dirigido a menores de 13 años. No recopilamos Cookies con fines de perfilado dirigidas a niños. Si un titular considera que un menor ha proporcionado datos sin consentimiento del representante legal, puede solicitar su eliminación a privacidad@omnibooking.com.</w:t>
      </w:r>
    </w:p>
    <w:p>
      <w:pPr>
        <w:pStyle w:val="Heading1"/>
        <w:spacing w:after="160" w:before="320"/>
      </w:pPr>
      <w:r>
        <w:rPr>
          <w:b/>
          <w:bCs/>
          <w:color w:val="0F172A"/>
          <w:sz w:val="28"/>
          <w:szCs w:val="28"/>
        </w:rPr>
        <w:t xml:space="preserve">9. Cambios en esta Política</w:t>
      </w:r>
    </w:p>
    <w:p>
      <w:pPr>
        <w:spacing w:after="120"/>
        <w:jc w:val="both"/>
      </w:pPr>
      <w:r>
        <w:t xml:space="preserve">Podemos actualizar esta Política para reflejar cambios en nuestras tecnologías, en la regulación aplicable o en los servicios de terceros. Cualquier cambio sustancial será notificado mediante un banner en la plataforma y, cuando sea jurídicamente relevante, por correo electrónico a los usuarios registrados.</w:t>
      </w:r>
    </w:p>
    <w:p>
      <w:pPr>
        <w:pStyle w:val="Heading1"/>
        <w:spacing w:after="160" w:before="320"/>
      </w:pPr>
      <w:r>
        <w:rPr>
          <w:b/>
          <w:bCs/>
          <w:color w:val="0F172A"/>
          <w:sz w:val="28"/>
          <w:szCs w:val="28"/>
        </w:rPr>
        <w:t xml:space="preserve">10. Contacto</w:t>
      </w:r>
    </w:p>
    <w:p>
      <w:pPr>
        <w:spacing w:after="120"/>
        <w:jc w:val="both"/>
      </w:pPr>
      <w:r>
        <w:t xml:space="preserve">Preguntas o reclamos sobre Cookies o tratamiento de datos:</w:t>
      </w:r>
    </w:p>
    <w:p>
      <w:pPr>
        <w:pStyle w:val="ListParagraph"/>
        <w:numPr>
          <w:ilvl w:val="0"/>
          <w:numId w:val="2"/>
        </w:numPr>
        <w:spacing w:after="80"/>
      </w:pPr>
      <w:r>
        <w:t xml:space="preserve">Responsable: OmniBooking — [razón social y CUIT pendientes de constitución]</w:t>
      </w:r>
    </w:p>
    <w:p>
      <w:pPr>
        <w:pStyle w:val="ListParagraph"/>
        <w:numPr>
          <w:ilvl w:val="0"/>
          <w:numId w:val="2"/>
        </w:numPr>
        <w:spacing w:after="80"/>
      </w:pPr>
      <w:r>
        <w:t xml:space="preserve">Domicilio: Mar del Plata, Provincia de Buenos Aires, Argentina</w:t>
      </w:r>
    </w:p>
    <w:p>
      <w:pPr>
        <w:pStyle w:val="ListParagraph"/>
        <w:numPr>
          <w:ilvl w:val="0"/>
          <w:numId w:val="2"/>
        </w:numPr>
        <w:spacing w:after="80"/>
      </w:pPr>
      <w:r>
        <w:t xml:space="preserve">Email: privacidad@omnibooking.com</w:t>
      </w:r>
    </w:p>
    <w:p>
      <w:pPr>
        <w:spacing w:after="120"/>
        <w:jc w:val="both"/>
      </w:pPr>
      <w:r>
        <w:t xml:space="preserve">La autoridad de control en materia de datos personales es la Agencia de Acceso a la Información Pública (AAIP): www.argentina.gob.ar/aaip</w:t>
      </w:r>
    </w:p>
    <w:p>
      <w:r>
        <w:t xml:space="preserve"/>
      </w:r>
    </w:p>
    <w:p>
      <w:pPr>
        <w:spacing w:after="120"/>
        <w:jc w:val="center"/>
      </w:pPr>
      <w:r>
        <w:rPr>
          <w:i/>
          <w:iCs/>
          <w:color w:val="64748B"/>
        </w:rPr>
        <w:t xml:space="preserve">— Fin del documento —</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Cookies — OmniBooking</dc:title>
  <dc:creator>OmniBooking</dc:creator>
  <cp:lastModifiedBy>Un-named</cp:lastModifiedBy>
  <cp:revision>1</cp:revision>
  <dcterms:created xsi:type="dcterms:W3CDTF">2026-04-23T01:05:40.148Z</dcterms:created>
  <dcterms:modified xsi:type="dcterms:W3CDTF">2026-04-23T01:05:40.149Z</dcterms:modified>
</cp:coreProperties>
</file>

<file path=docProps/custom.xml><?xml version="1.0" encoding="utf-8"?>
<Properties xmlns="http://schemas.openxmlformats.org/officeDocument/2006/custom-properties" xmlns:vt="http://schemas.openxmlformats.org/officeDocument/2006/docPropsVTypes"/>
</file>