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sz w:val="36"/>
          <w:szCs w:val="36"/>
        </w:rPr>
        <w:t xml:space="preserve">POLÍTICA DE PRIVACIDAD</w:t>
      </w:r>
    </w:p>
    <w:p>
      <w:pPr>
        <w:spacing w:after="120"/>
        <w:jc w:val="center"/>
      </w:pPr>
      <w:r>
        <w:rPr>
          <w:b/>
          <w:bCs/>
          <w:sz w:val="28"/>
          <w:szCs w:val="28"/>
        </w:rPr>
        <w:t xml:space="preserve">[NOMBRE DEL SERVICIO]</w:t>
      </w:r>
    </w:p>
    <w:p>
      <w:pPr>
        <w:spacing w:after="120"/>
        <w:jc w:val="center"/>
      </w:pPr>
      <w:r>
        <w:rPr>
          <w:i/>
          <w:iCs/>
          <w:sz w:val="18"/>
          <w:szCs w:val="18"/>
        </w:rPr>
        <w:t xml:space="preserve">Versión 2 — Ajustada con Cláusulas Contractuales Modelo, Opt-In WhatsApp y BSUID</w:t>
      </w:r>
    </w:p>
    <w:p>
      <w:pPr>
        <w:spacing w:after="360"/>
        <w:jc w:val="center"/>
      </w:pPr>
      <w:r>
        <w:rPr>
          <w:i/>
          <w:iCs/>
          <w:sz w:val="20"/>
          <w:szCs w:val="20"/>
        </w:rPr>
        <w:t xml:space="preserve">Última actualización: [FECHA DE PUBLICACIÓN]</w:t>
      </w:r>
    </w:p>
    <w:p>
      <w:pPr>
        <w:spacing w:after="240" w:before="120"/>
      </w:pPr>
      <w:r>
        <w:rPr>
          <w:i/>
          <w:iCs/>
          <w:color w:val="B91C1C"/>
        </w:rPr>
        <w:t xml:space="preserve">DOCUMENTO BORRADOR v2 — Incorpora: Cláusulas Contractuales Modelo (Res. 60/2016 AAIP, con número a confirmar por el abogado), Opt-In auditable de WhatsApp, referencia al BSUID de Meta, y secciones nuevas sobre Responsabilidad Proactiva y Notificación de Incidentes. Debe ser revisado por un abogado matriculado antes de publicar. En Argentina, además, debe inscribirse la base de datos en el RNBD de la AAIP.</w:t>
      </w:r>
    </w:p>
    <w:p>
      <w:pPr>
        <w:pStyle w:val="Heading1"/>
      </w:pPr>
      <w:r>
        <w:t xml:space="preserve">1. Responsable del Tratamiento</w:t>
      </w:r>
    </w:p>
    <w:p>
      <w:pPr>
        <w:spacing w:after="120"/>
      </w:pPr>
      <w:r>
        <w:t xml:space="preserve">El responsable del tratamiento de los datos personales es [RAZÓN SOCIAL O NOMBRE Y APELLIDO], CUIT N° [CUIT], con domicilio legal en [DOMICILIO], Mar del Plata, Provincia de Buenos Aires, República Argentina (en adelante, el “Responsable”).</w:t>
      </w:r>
    </w:p>
    <w:p>
      <w:pPr>
        <w:spacing w:after="120"/>
      </w:pPr>
      <w:r>
        <w:t xml:space="preserve">Correo electrónico de contacto para consultas sobre privacidad: [EMAIL DE PRIVACIDAD].</w:t>
      </w:r>
    </w:p>
    <w:p>
      <w:pPr>
        <w:spacing w:after="120"/>
      </w:pPr>
      <w:r>
        <w:t xml:space="preserve">La presente Política de Privacidad (en adelante, la “Política”) describe cómo el Responsable recolecta, trata, almacena y comparte datos personales a través de la plataforma [NOMBRE DEL SERVICIO] (en adelante, la “Plataforma”).</w:t>
      </w:r>
    </w:p>
    <w:p>
      <w:pPr>
        <w:pStyle w:val="Heading1"/>
      </w:pPr>
      <w:r>
        <w:t xml:space="preserve">2. Alcance y Roles</w:t>
      </w:r>
    </w:p>
    <w:p>
      <w:pPr>
        <w:spacing w:after="120"/>
      </w:pPr>
      <w:r>
        <w:t xml:space="preserve">2.1. Esta Política se aplica a dos grupos de titulares de datos:</w:t>
      </w:r>
    </w:p>
    <w:p>
      <w:pPr>
        <w:pStyle w:val="ListParagraph"/>
        <w:numPr>
          <w:ilvl w:val="0"/>
          <w:numId w:val="2"/>
        </w:numPr>
        <w:spacing w:after="80"/>
      </w:pPr>
      <w:r>
        <w:t xml:space="preserve">Clientes y Operadores: personas que crean o administran una cuenta en la Plataforma para gestionar su negocio.</w:t>
      </w:r>
    </w:p>
    <w:p>
      <w:pPr>
        <w:pStyle w:val="ListParagraph"/>
        <w:numPr>
          <w:ilvl w:val="0"/>
          <w:numId w:val="2"/>
        </w:numPr>
        <w:spacing w:after="80"/>
      </w:pPr>
      <w:r>
        <w:t xml:space="preserve">Usuarios Finales: personas que realizan o reciben una reserva a través de la Plataforma pública de un Cliente.</w:t>
      </w:r>
    </w:p>
    <w:p>
      <w:pPr>
        <w:spacing w:after="120"/>
      </w:pPr>
      <w:r>
        <w:t xml:space="preserve">2.2. Respecto de Clientes y Operadores, el Responsable actúa como Responsable del Tratamiento.</w:t>
      </w:r>
    </w:p>
    <w:p>
      <w:pPr>
        <w:spacing w:after="120"/>
      </w:pPr>
      <w:r>
        <w:t xml:space="preserve">2.3. Respecto de Usuarios Finales, los Clientes son Responsables del Tratamiento, y [NOMBRE DEL SERVICIO] es Encargado del Tratamiento, tratando los datos sólo conforme las instrucciones contractuales del Cliente y para la prestación del Servicio. La relación entre Responsable y Encargado se regula en el Acuerdo de Tratamiento de Datos (DPA) que forma parte integrante de estos términos.</w:t>
      </w:r>
    </w:p>
    <w:p>
      <w:pPr>
        <w:pStyle w:val="Heading1"/>
      </w:pPr>
      <w:r>
        <w:t xml:space="preserve">3. Marco Normativo</w:t>
      </w:r>
    </w:p>
    <w:p>
      <w:pPr>
        <w:spacing w:after="120"/>
      </w:pPr>
      <w:r>
        <w:t xml:space="preserve">Esta Política se rige por la Ley N° 25.326 de Protección de los Datos Personales, su Decreto Reglamentario N° 1.558/01, las Resoluciones y Disposiciones complementarias emitidas por la Agencia de Acceso a la Información Pública (AAIP) y demás normativa argentina aplicable.</w:t>
      </w:r>
    </w:p>
    <w:p>
      <w:pPr>
        <w:spacing w:after="120"/>
      </w:pPr>
      <w:r>
        <w:t xml:space="preserve">El titular de los datos tiene derecho a presentar denuncias ante la AAIP (www.argentina.gob.ar/aaip).</w:t>
      </w:r>
    </w:p>
    <w:p>
      <w:pPr>
        <w:pStyle w:val="Heading1"/>
      </w:pPr>
      <w:r>
        <w:t xml:space="preserve">4. Datos Personales que Recolectamos</w:t>
      </w:r>
    </w:p>
    <w:p>
      <w:pPr>
        <w:pStyle w:val="Heading2"/>
      </w:pPr>
      <w:r>
        <w:t xml:space="preserve">4.1. Datos de Clientes y Operadores</w:t>
      </w:r>
    </w:p>
    <w:p>
      <w:pPr>
        <w:pStyle w:val="ListParagraph"/>
        <w:numPr>
          <w:ilvl w:val="0"/>
          <w:numId w:val="2"/>
        </w:numPr>
        <w:spacing w:after="80"/>
      </w:pPr>
      <w:r>
        <w:t xml:space="preserve">Datos de identificación: nombre y apellido, correo electrónico, teléfono.</w:t>
      </w:r>
    </w:p>
    <w:p>
      <w:pPr>
        <w:pStyle w:val="ListParagraph"/>
        <w:numPr>
          <w:ilvl w:val="0"/>
          <w:numId w:val="2"/>
        </w:numPr>
        <w:spacing w:after="80"/>
      </w:pPr>
      <w:r>
        <w:t xml:space="preserve">Datos de cuenta: nombre de usuario, contraseña cifrada, rol, negocio al que pertenece.</w:t>
      </w:r>
    </w:p>
    <w:p>
      <w:pPr>
        <w:pStyle w:val="ListParagraph"/>
        <w:numPr>
          <w:ilvl w:val="0"/>
          <w:numId w:val="2"/>
        </w:numPr>
        <w:spacing w:after="80"/>
      </w:pPr>
      <w:r>
        <w:t xml:space="preserve">Datos del negocio: razón social o nombre de fantasía, dirección, industria, CUIT.</w:t>
      </w:r>
    </w:p>
    <w:p>
      <w:pPr>
        <w:pStyle w:val="ListParagraph"/>
        <w:numPr>
          <w:ilvl w:val="0"/>
          <w:numId w:val="2"/>
        </w:numPr>
        <w:spacing w:after="80"/>
      </w:pPr>
      <w:r>
        <w:t xml:space="preserve">Datos de facturación y pago: método de pago en Mercado Pago, comprobantes.</w:t>
      </w:r>
    </w:p>
    <w:p>
      <w:pPr>
        <w:pStyle w:val="ListParagraph"/>
        <w:numPr>
          <w:ilvl w:val="0"/>
          <w:numId w:val="2"/>
        </w:numPr>
        <w:spacing w:after="80"/>
      </w:pPr>
      <w:r>
        <w:t xml:space="preserve">Datos técnicos: dirección IP, dispositivo, navegador, logs, eventos de uso.</w:t>
      </w:r>
    </w:p>
    <w:p>
      <w:pPr>
        <w:pStyle w:val="Heading2"/>
      </w:pPr>
      <w:r>
        <w:t xml:space="preserve">4.2. Datos de Usuarios Finales (tratados por cuenta del Cliente)</w:t>
      </w:r>
    </w:p>
    <w:p>
      <w:pPr>
        <w:pStyle w:val="ListParagraph"/>
        <w:numPr>
          <w:ilvl w:val="0"/>
          <w:numId w:val="2"/>
        </w:numPr>
        <w:spacing w:after="80"/>
      </w:pPr>
      <w:r>
        <w:t xml:space="preserve">Datos de contacto: nombre, teléfono, correo.</w:t>
      </w:r>
    </w:p>
    <w:p>
      <w:pPr>
        <w:pStyle w:val="ListParagraph"/>
        <w:numPr>
          <w:ilvl w:val="0"/>
          <w:numId w:val="2"/>
        </w:numPr>
        <w:spacing w:after="80"/>
      </w:pPr>
      <w:r>
        <w:t xml:space="preserve">Datos de reserva: fecha, hora, recurso, monto, método de pago.</w:t>
      </w:r>
    </w:p>
    <w:p>
      <w:pPr>
        <w:pStyle w:val="ListParagraph"/>
        <w:numPr>
          <w:ilvl w:val="0"/>
          <w:numId w:val="2"/>
        </w:numPr>
        <w:spacing w:after="80"/>
      </w:pPr>
      <w:r>
        <w:t xml:space="preserve">Documento o fecha de nacimiento, si el Cliente los habilita y el Usuario Final los proporciona.</w:t>
      </w:r>
    </w:p>
    <w:p>
      <w:pPr>
        <w:pStyle w:val="ListParagraph"/>
        <w:numPr>
          <w:ilvl w:val="0"/>
          <w:numId w:val="2"/>
        </w:numPr>
        <w:spacing w:after="80"/>
      </w:pPr>
      <w:r>
        <w:t xml:space="preserve">Notas internas del Cliente u Operador sobre el Usuario Final.</w:t>
      </w:r>
    </w:p>
    <w:p>
      <w:pPr>
        <w:pStyle w:val="ListParagraph"/>
        <w:numPr>
          <w:ilvl w:val="0"/>
          <w:numId w:val="2"/>
        </w:numPr>
        <w:spacing w:after="80"/>
      </w:pPr>
      <w:r>
        <w:t xml:space="preserve">Business-Scoped User ID (BSUID): identificador único generado por Meta por cada negocio para la relación del Usuario Final con ese Cliente en WhatsApp.</w:t>
      </w:r>
    </w:p>
    <w:p>
      <w:pPr>
        <w:pStyle w:val="Heading2"/>
      </w:pPr>
      <w:r>
        <w:t xml:space="preserve">4.3. Datos que NO recolectamos</w:t>
      </w:r>
    </w:p>
    <w:p>
      <w:pPr>
        <w:spacing w:after="120"/>
      </w:pPr>
      <w:r>
        <w:t xml:space="preserve">La Plataforma no recolecta datos sensibles en los términos del artículo 2° de la Ley N° 25.326 (datos de salud, ideológicos, religiosos, sindicales, políticos, datos biométricos, entre otros). El Cliente se obliga a no cargar este tipo de datos sin base legal adecuada y notificación previa al Responsable. Si el Cliente implementa funcionalidades que impliquen datos biométricos, deberá cumplir con los requisitos especiales previstos en el DPA.</w:t>
      </w:r>
    </w:p>
    <w:p>
      <w:pPr>
        <w:pStyle w:val="Heading1"/>
      </w:pPr>
      <w:r>
        <w:t xml:space="preserve">5. Finalidades del Tratamiento</w:t>
      </w:r>
    </w:p>
    <w:p>
      <w:pPr>
        <w:pStyle w:val="ListParagraph"/>
        <w:numPr>
          <w:ilvl w:val="0"/>
          <w:numId w:val="2"/>
        </w:numPr>
        <w:spacing w:after="80"/>
      </w:pPr>
      <w:r>
        <w:t xml:space="preserve">Prestación del Servicio: registro, uso de la Plataforma y gestión de reservas.</w:t>
      </w:r>
    </w:p>
    <w:p>
      <w:pPr>
        <w:pStyle w:val="ListParagraph"/>
        <w:numPr>
          <w:ilvl w:val="0"/>
          <w:numId w:val="2"/>
        </w:numPr>
        <w:spacing w:after="80"/>
      </w:pPr>
      <w:r>
        <w:t xml:space="preserve">Facturación y cobro de suscripciones vía Mercado Pago.</w:t>
      </w:r>
    </w:p>
    <w:p>
      <w:pPr>
        <w:pStyle w:val="ListParagraph"/>
        <w:numPr>
          <w:ilvl w:val="0"/>
          <w:numId w:val="2"/>
        </w:numPr>
        <w:spacing w:after="80"/>
      </w:pPr>
      <w:r>
        <w:t xml:space="preserve">Comunicaciones transaccionales (confirmaciones, recordatorios, cambios de estado) por email y WhatsApp.</w:t>
      </w:r>
    </w:p>
    <w:p>
      <w:pPr>
        <w:pStyle w:val="ListParagraph"/>
        <w:numPr>
          <w:ilvl w:val="0"/>
          <w:numId w:val="2"/>
        </w:numPr>
        <w:spacing w:after="80"/>
      </w:pPr>
      <w:r>
        <w:t xml:space="preserve">Soporte al cliente.</w:t>
      </w:r>
    </w:p>
    <w:p>
      <w:pPr>
        <w:pStyle w:val="ListParagraph"/>
        <w:numPr>
          <w:ilvl w:val="0"/>
          <w:numId w:val="2"/>
        </w:numPr>
        <w:spacing w:after="80"/>
      </w:pPr>
      <w:r>
        <w:t xml:space="preserve">Mejora del Servicio y analítica agregada.</w:t>
      </w:r>
    </w:p>
    <w:p>
      <w:pPr>
        <w:pStyle w:val="ListParagraph"/>
        <w:numPr>
          <w:ilvl w:val="0"/>
          <w:numId w:val="2"/>
        </w:numPr>
        <w:spacing w:after="80"/>
      </w:pPr>
      <w:r>
        <w:t xml:space="preserve">Prevención de fraude, uso indebido o abuso.</w:t>
      </w:r>
    </w:p>
    <w:p>
      <w:pPr>
        <w:pStyle w:val="ListParagraph"/>
        <w:numPr>
          <w:ilvl w:val="0"/>
          <w:numId w:val="2"/>
        </w:numPr>
        <w:spacing w:after="80"/>
      </w:pPr>
      <w:r>
        <w:t xml:space="preserve">Cumplimiento de obligaciones legales y fiscales.</w:t>
      </w:r>
    </w:p>
    <w:p>
      <w:pPr>
        <w:pStyle w:val="ListParagraph"/>
        <w:numPr>
          <w:ilvl w:val="0"/>
          <w:numId w:val="2"/>
        </w:numPr>
        <w:spacing w:after="80"/>
      </w:pPr>
      <w:r>
        <w:t xml:space="preserve">Comunicaciones comerciales opcionales, sólo con consentimiento expreso y opción de baja en cada comunicación (art. 27, Ley 25.326).</w:t>
      </w:r>
    </w:p>
    <w:p>
      <w:pPr>
        <w:pStyle w:val="Heading1"/>
      </w:pPr>
      <w:r>
        <w:t xml:space="preserve">6. Base de Legitimación</w:t>
      </w:r>
    </w:p>
    <w:p>
      <w:pPr>
        <w:pStyle w:val="ListParagraph"/>
        <w:numPr>
          <w:ilvl w:val="0"/>
          <w:numId w:val="2"/>
        </w:numPr>
        <w:spacing w:after="80"/>
      </w:pPr>
      <w:r>
        <w:t xml:space="preserve">Consentimiento libre, expreso e informado del titular (art. 5, Ley 25.326).</w:t>
      </w:r>
    </w:p>
    <w:p>
      <w:pPr>
        <w:pStyle w:val="ListParagraph"/>
        <w:numPr>
          <w:ilvl w:val="0"/>
          <w:numId w:val="2"/>
        </w:numPr>
        <w:spacing w:after="80"/>
      </w:pPr>
      <w:r>
        <w:t xml:space="preserve">Ejecución de una relación contractual o precontractual.</w:t>
      </w:r>
    </w:p>
    <w:p>
      <w:pPr>
        <w:pStyle w:val="ListParagraph"/>
        <w:numPr>
          <w:ilvl w:val="0"/>
          <w:numId w:val="2"/>
        </w:numPr>
        <w:spacing w:after="80"/>
      </w:pPr>
      <w:r>
        <w:t xml:space="preserve">Cumplimiento de obligaciones legales del Responsable.</w:t>
      </w:r>
    </w:p>
    <w:p>
      <w:pPr>
        <w:pStyle w:val="Heading1"/>
      </w:pPr>
      <w:r>
        <w:t xml:space="preserve">7. Destinatarios y Subprocesadores</w:t>
      </w:r>
    </w:p>
    <w:p>
      <w:pPr>
        <w:spacing w:after="120"/>
      </w:pPr>
      <w:r>
        <w:t xml:space="preserve">Utilizamos proveedores de confianza que actúan como Encargados del Tratamiento. Los principales 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4"/>
              <w:left w:val="single" w:color="CCCCCC" w:sz="4"/>
              <w:bottom w:val="single" w:color="CCCCCC" w:sz="4"/>
              <w:right w:val="single" w:color="CCCCCC" w:sz="4"/>
            </w:tcBorders>
            <w:shd w:fill="E5E7EB" w:val="clear"/>
            <w:tcMar>
              <w:top w:type="dxa" w:w="80"/>
              <w:left w:type="dxa" w:w="120"/>
              <w:bottom w:type="dxa" w:w="80"/>
              <w:right w:type="dxa" w:w="120"/>
            </w:tcMar>
          </w:tcPr>
          <w:p>
            <w:r>
              <w:rPr>
                <w:b/>
                <w:bCs/>
                <w:sz w:val="20"/>
                <w:szCs w:val="20"/>
              </w:rPr>
              <w:t xml:space="preserve">Proveedor</w:t>
            </w:r>
          </w:p>
        </w:tc>
        <w:tc>
          <w:tcPr>
            <w:tcW w:type="dxa" w:w="2340"/>
            <w:tcBorders>
              <w:top w:val="single" w:color="CCCCCC" w:sz="4"/>
              <w:left w:val="single" w:color="CCCCCC" w:sz="4"/>
              <w:bottom w:val="single" w:color="CCCCCC" w:sz="4"/>
              <w:right w:val="single" w:color="CCCCCC" w:sz="4"/>
            </w:tcBorders>
            <w:shd w:fill="E5E7EB" w:val="clear"/>
            <w:tcMar>
              <w:top w:type="dxa" w:w="80"/>
              <w:left w:type="dxa" w:w="120"/>
              <w:bottom w:type="dxa" w:w="80"/>
              <w:right w:type="dxa" w:w="120"/>
            </w:tcMar>
          </w:tcPr>
          <w:p>
            <w:r>
              <w:rPr>
                <w:b/>
                <w:bCs/>
                <w:sz w:val="20"/>
                <w:szCs w:val="20"/>
              </w:rPr>
              <w:t xml:space="preserve">Finalidad</w:t>
            </w:r>
          </w:p>
        </w:tc>
        <w:tc>
          <w:tcPr>
            <w:tcW w:type="dxa" w:w="2340"/>
            <w:tcBorders>
              <w:top w:val="single" w:color="CCCCCC" w:sz="4"/>
              <w:left w:val="single" w:color="CCCCCC" w:sz="4"/>
              <w:bottom w:val="single" w:color="CCCCCC" w:sz="4"/>
              <w:right w:val="single" w:color="CCCCCC" w:sz="4"/>
            </w:tcBorders>
            <w:shd w:fill="E5E7EB" w:val="clear"/>
            <w:tcMar>
              <w:top w:type="dxa" w:w="80"/>
              <w:left w:type="dxa" w:w="120"/>
              <w:bottom w:type="dxa" w:w="80"/>
              <w:right w:type="dxa" w:w="120"/>
            </w:tcMar>
          </w:tcPr>
          <w:p>
            <w:r>
              <w:rPr>
                <w:b/>
                <w:bCs/>
                <w:sz w:val="20"/>
                <w:szCs w:val="20"/>
              </w:rPr>
              <w:t xml:space="preserve">País</w:t>
            </w:r>
          </w:p>
        </w:tc>
        <w:tc>
          <w:tcPr>
            <w:tcW w:type="dxa" w:w="2340"/>
            <w:tcBorders>
              <w:top w:val="single" w:color="CCCCCC" w:sz="4"/>
              <w:left w:val="single" w:color="CCCCCC" w:sz="4"/>
              <w:bottom w:val="single" w:color="CCCCCC" w:sz="4"/>
              <w:right w:val="single" w:color="CCCCCC" w:sz="4"/>
            </w:tcBorders>
            <w:shd w:fill="E5E7EB" w:val="clear"/>
            <w:tcMar>
              <w:top w:type="dxa" w:w="80"/>
              <w:left w:type="dxa" w:w="120"/>
              <w:bottom w:type="dxa" w:w="80"/>
              <w:right w:type="dxa" w:w="120"/>
            </w:tcMar>
          </w:tcPr>
          <w:p>
            <w:r>
              <w:rPr>
                <w:b/>
                <w:bCs/>
                <w:sz w:val="20"/>
                <w:szCs w:val="20"/>
              </w:rPr>
              <w:t xml:space="preserve">Dato tratado</w:t>
            </w:r>
          </w:p>
        </w:tc>
      </w:tr>
      <w:tr>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Supabase</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Base de datos y autenticación</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EE.UU.</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Todos los datos de la Plataforma</w:t>
            </w:r>
          </w:p>
        </w:tc>
      </w:tr>
      <w:tr>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Vercel</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Hosting y CDN</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EE.UU. (global)</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Datos técnicos, IPs, logs</w:t>
            </w:r>
          </w:p>
        </w:tc>
      </w:tr>
      <w:tr>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Mercado Pago</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Procesamiento de pagos</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Argentina / región</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Nombre, email, datos de pago</w:t>
            </w:r>
          </w:p>
        </w:tc>
      </w:tr>
      <w:tr>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Meta / WhatsApp Business API</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Envío de notificaciones</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EE.UU.</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Teléfono, BSUID, contenido del mensaje</w:t>
            </w:r>
          </w:p>
        </w:tc>
      </w:tr>
      <w:tr>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[Proveedor de email transaccional]</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Envío de correos</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[País]</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Email, nombre, contenido del mensaje</w:t>
            </w:r>
          </w:p>
        </w:tc>
      </w:tr>
    </w:tbl>
    <w:p>
      <w:r>
        <w:t xml:space="preserve"/>
      </w:r>
    </w:p>
    <w:p>
      <w:pPr>
        <w:spacing w:after="120"/>
      </w:pPr>
      <w:r>
        <w:t xml:space="preserve">El listado actualizado de subprocesadores y los contratos DPA respectivos están disponibles previa solicitud a [EMAIL DE PRIVACIDAD].</w:t>
      </w:r>
    </w:p>
    <w:p>
      <w:pPr>
        <w:pStyle w:val="Heading1"/>
      </w:pPr>
      <w:r>
        <w:t xml:space="preserve">8. Transferencia Internacional de Datos — Cláusulas Contractuales Modelo</w:t>
      </w:r>
    </w:p>
    <w:p>
      <w:pPr>
        <w:spacing w:after="120"/>
      </w:pPr>
      <w:r>
        <w:t xml:space="preserve">8.1. Algunos subprocesadores almacenan o procesan datos fuera de la República Argentina. Estas transferencias se realizan en los términos del artículo 12 de la Ley N° 25.326.</w:t>
      </w:r>
    </w:p>
    <w:p>
      <w:pPr>
        <w:spacing w:after="120"/>
      </w:pPr>
      <w:r>
        <w:t xml:space="preserve">8.2. Dado que Estados Unidos no posee una calificación de adecuación reconocida por la AAIP, el Responsable instrumenta la transferencia mediante las Cláusulas Contractuales Modelo aprobadas por la AAIP (conforme Resolución N° 60/2016 y/o sus normas complementarias y sustitutivas, cuyos números exactos deben confirmarse a la fecha de publicación). Estas cláusulas garantizan un nivel de protección adecuado, equivalente al de la legislación argentina, y son aceptadas mediante los Data Processing Addendum (DPA) estándar de cada subprocesador (Supabase, Vercel, Meta) o mediante contratos específicos negociados al efecto.</w:t>
      </w:r>
    </w:p>
    <w:p>
      <w:pPr>
        <w:spacing w:after="120"/>
      </w:pPr>
      <w:r>
        <w:t xml:space="preserve">8.3. El titular puede solicitar copia de las Cláusulas Contractuales Modelo aplicables a [EMAIL DE PRIVACIDAD].</w:t>
      </w:r>
    </w:p>
    <w:p>
      <w:pPr>
        <w:spacing w:after="180" w:before="0"/>
      </w:pPr>
      <w:r>
        <w:rPr>
          <w:i/>
          <w:iCs/>
          <w:color w:val="166534"/>
          <w:sz w:val="18"/>
          <w:szCs w:val="18"/>
        </w:rPr>
        <w:t xml:space="preserve">→ Cambio v2: se explicita el mecanismo de Cláusulas Contractuales Modelo conforme Art. 12 Ley 25.326 y Resoluciones AAIP vigentes.</w:t>
      </w:r>
    </w:p>
    <w:p>
      <w:pPr>
        <w:pStyle w:val="Heading1"/>
      </w:pPr>
      <w:r>
        <w:t xml:space="preserve">9. Plazo de Conservación</w:t>
      </w:r>
    </w:p>
    <w:p>
      <w:pPr>
        <w:pStyle w:val="ListParagraph"/>
        <w:numPr>
          <w:ilvl w:val="0"/>
          <w:numId w:val="2"/>
        </w:numPr>
        <w:spacing w:after="80"/>
      </w:pPr>
      <w:r>
        <w:t xml:space="preserve">Datos de cuentas activas: mientras la cuenta se mantenga activa.</w:t>
      </w:r>
    </w:p>
    <w:p>
      <w:pPr>
        <w:pStyle w:val="ListParagraph"/>
        <w:numPr>
          <w:ilvl w:val="0"/>
          <w:numId w:val="2"/>
        </w:numPr>
        <w:spacing w:after="80"/>
      </w:pPr>
      <w:r>
        <w:t xml:space="preserve">Datos de cuentas inactivas o dadas de baja: hasta [12] meses luego de la baja, salvo obligación legal de conservación mayor.</w:t>
      </w:r>
    </w:p>
    <w:p>
      <w:pPr>
        <w:pStyle w:val="ListParagraph"/>
        <w:numPr>
          <w:ilvl w:val="0"/>
          <w:numId w:val="2"/>
        </w:numPr>
        <w:spacing w:after="80"/>
      </w:pPr>
      <w:r>
        <w:t xml:space="preserve">Datos de facturación y fiscales: plazos legales (mínimo 10 años).</w:t>
      </w:r>
    </w:p>
    <w:p>
      <w:pPr>
        <w:pStyle w:val="ListParagraph"/>
        <w:numPr>
          <w:ilvl w:val="0"/>
          <w:numId w:val="2"/>
        </w:numPr>
        <w:spacing w:after="80"/>
      </w:pPr>
      <w:r>
        <w:t xml:space="preserve">Logs de seguridad y auditoría: hasta [12] meses.</w:t>
      </w:r>
    </w:p>
    <w:p>
      <w:pPr>
        <w:pStyle w:val="ListParagraph"/>
        <w:numPr>
          <w:ilvl w:val="0"/>
          <w:numId w:val="2"/>
        </w:numPr>
        <w:spacing w:after="80"/>
      </w:pPr>
      <w:r>
        <w:t xml:space="preserve">Comunicaciones por WhatsApp/email: hasta [6] meses desde su envío.</w:t>
      </w:r>
    </w:p>
    <w:p>
      <w:pPr>
        <w:pStyle w:val="ListParagraph"/>
        <w:numPr>
          <w:ilvl w:val="0"/>
          <w:numId w:val="2"/>
        </w:numPr>
        <w:spacing w:after="80"/>
      </w:pPr>
      <w:r>
        <w:t xml:space="preserve">Consentimientos (Opt-In) de WhatsApp y marketing: mientras el consentimiento esté vigente + [12] meses posteriores a la revocación como evidencia.</w:t>
      </w:r>
    </w:p>
    <w:p>
      <w:pPr>
        <w:pStyle w:val="Heading1"/>
      </w:pPr>
      <w:r>
        <w:t xml:space="preserve">10. Medidas de Seguridad</w:t>
      </w:r>
    </w:p>
    <w:p>
      <w:pPr>
        <w:pStyle w:val="ListParagraph"/>
        <w:numPr>
          <w:ilvl w:val="0"/>
          <w:numId w:val="2"/>
        </w:numPr>
        <w:spacing w:after="80"/>
      </w:pPr>
      <w:r>
        <w:t xml:space="preserve">Cifrado en tránsito mediante TLS.</w:t>
      </w:r>
    </w:p>
    <w:p>
      <w:pPr>
        <w:pStyle w:val="ListParagraph"/>
        <w:numPr>
          <w:ilvl w:val="0"/>
          <w:numId w:val="2"/>
        </w:numPr>
        <w:spacing w:after="80"/>
      </w:pPr>
      <w:r>
        <w:t xml:space="preserve">Cifrado de credenciales de integraciones en la base de datos (AES-256).</w:t>
      </w:r>
    </w:p>
    <w:p>
      <w:pPr>
        <w:pStyle w:val="ListParagraph"/>
        <w:numPr>
          <w:ilvl w:val="0"/>
          <w:numId w:val="2"/>
        </w:numPr>
        <w:spacing w:after="80"/>
      </w:pPr>
      <w:r>
        <w:t xml:space="preserve">Control de acceso por roles (Row Level Security a nivel de base de datos).</w:t>
      </w:r>
    </w:p>
    <w:p>
      <w:pPr>
        <w:pStyle w:val="ListParagraph"/>
        <w:numPr>
          <w:ilvl w:val="0"/>
          <w:numId w:val="2"/>
        </w:numPr>
        <w:spacing w:after="80"/>
      </w:pPr>
      <w:r>
        <w:t xml:space="preserve">Contraseñas con algoritmos de hash irreversibles.</w:t>
      </w:r>
    </w:p>
    <w:p>
      <w:pPr>
        <w:pStyle w:val="ListParagraph"/>
        <w:numPr>
          <w:ilvl w:val="0"/>
          <w:numId w:val="2"/>
        </w:numPr>
        <w:spacing w:after="80"/>
      </w:pPr>
      <w:r>
        <w:t xml:space="preserve">Copias de respaldo automáticas.</w:t>
      </w:r>
    </w:p>
    <w:p>
      <w:pPr>
        <w:pStyle w:val="ListParagraph"/>
        <w:numPr>
          <w:ilvl w:val="0"/>
          <w:numId w:val="2"/>
        </w:numPr>
        <w:spacing w:after="80"/>
      </w:pPr>
      <w:r>
        <w:t xml:space="preserve">Monitoreo de incidentes y registros de acceso.</w:t>
      </w:r>
    </w:p>
    <w:p>
      <w:pPr>
        <w:pStyle w:val="ListParagraph"/>
        <w:numPr>
          <w:ilvl w:val="0"/>
          <w:numId w:val="2"/>
        </w:numPr>
        <w:spacing w:after="80"/>
      </w:pPr>
      <w:r>
        <w:t xml:space="preserve">Revisiones periódicas de seguridad y actualización de dependencias.</w:t>
      </w:r>
    </w:p>
    <w:p>
      <w:pPr>
        <w:pStyle w:val="Heading1"/>
      </w:pPr>
      <w:r>
        <w:t xml:space="preserve">11. Responsabilidad Proactiva y Notificación de Incidentes</w:t>
      </w:r>
    </w:p>
    <w:p>
      <w:pPr>
        <w:spacing w:after="120"/>
      </w:pPr>
      <w:r>
        <w:t xml:space="preserve">11.1. El Responsable aplica los principios de “privacidad desde el diseño” y “privacidad por defecto” en el ciclo de vida del desarrollo del Servicio.</w:t>
      </w:r>
    </w:p>
    <w:p>
      <w:pPr>
        <w:spacing w:after="120"/>
      </w:pPr>
      <w:r>
        <w:t xml:space="preserve">11.2. En caso de un incidente de seguridad que pueda afectar la confidencialidad, integridad o disponibilidad de datos personales, el Responsable (i) activará su Protocolo Interno de Respuesta a Incidentes, (ii) notificará a la AAIP y a los titulares afectados conforme la normativa vigente y las recomendaciones de la autoridad de aplicación, y (iii) adoptará las medidas correctivas necesarias. Cuando el incidente afecte datos tratados por cuenta de un Cliente (Usuarios Finales), se notificará al Cliente sin demora indebida para que éste proceda conforme su rol de Responsable.</w:t>
      </w:r>
    </w:p>
    <w:p>
      <w:pPr>
        <w:spacing w:after="180" w:before="0"/>
      </w:pPr>
      <w:r>
        <w:rPr>
          <w:i/>
          <w:iCs/>
          <w:color w:val="166534"/>
          <w:sz w:val="18"/>
          <w:szCs w:val="18"/>
        </w:rPr>
        <w:t xml:space="preserve">→ Cambio v2: cláusula nueva sobre Responsabilidad Proactiva e incidentes.</w:t>
      </w:r>
    </w:p>
    <w:p>
      <w:pPr>
        <w:pStyle w:val="Heading1"/>
      </w:pPr>
      <w:r>
        <w:t xml:space="preserve">12. Derechos del Titular (ARCO)</w:t>
      </w:r>
    </w:p>
    <w:p>
      <w:pPr>
        <w:spacing w:after="120"/>
      </w:pPr>
      <w:r>
        <w:t xml:space="preserve">El titular puede acceder, rectificar, actualizar, suprimir u oponerse al tratamiento de sus datos, así como revocar el consentimiento otorgado.</w:t>
      </w:r>
    </w:p>
    <w:p>
      <w:pPr>
        <w:spacing w:after="120"/>
      </w:pPr>
      <w:r>
        <w:t xml:space="preserve">Para ejercer estos derechos, debe enviar una solicitud a [EMAIL DE PRIVACIDAD] acreditando identidad mediante copia de DNI u otro medio idóneo. El Responsable responderá dentro de los plazos de la Ley N° 25.326: diez (10) días corridos para acceso, y cinco (5) días hábiles para rectificación/supresión.</w:t>
      </w:r>
    </w:p>
    <w:p>
      <w:pPr>
        <w:spacing w:after="120"/>
      </w:pPr>
      <w:r>
        <w:t xml:space="preserve">Si se deniega una solicitud (por ejemplo, por obligación legal o fiscal de conservación), la respuesta será motivada e informará al titular su derecho a recurrir ante la AAIP o iniciar una acción de Habeas Data judicial.</w:t>
      </w:r>
    </w:p>
    <w:p>
      <w:pPr>
        <w:pStyle w:val="Heading1"/>
      </w:pPr>
      <w:r>
        <w:t xml:space="preserve">13. Cookies y Tecnologías Similares</w:t>
      </w:r>
    </w:p>
    <w:p>
      <w:pPr>
        <w:spacing w:after="120"/>
      </w:pPr>
      <w:r>
        <w:t xml:space="preserve">El uso de cookies se rige por la Política de Cookies específica, disponible en la Plataforma y que forma parte integrante de esta Política.</w:t>
      </w:r>
    </w:p>
    <w:p>
      <w:pPr>
        <w:pStyle w:val="Heading1"/>
      </w:pPr>
      <w:r>
        <w:t xml:space="preserve">14. Comunicaciones por WhatsApp y Opt-In Auditable</w:t>
      </w:r>
    </w:p>
    <w:p>
      <w:pPr>
        <w:spacing w:after="120"/>
      </w:pPr>
      <w:r>
        <w:t xml:space="preserve">14.1. El Servicio permite enviar notificaciones transaccionales y, eventualmente, promocionales vía WhatsApp Business API.</w:t>
      </w:r>
    </w:p>
    <w:p>
      <w:pPr>
        <w:spacing w:after="120"/>
      </w:pPr>
      <w:r>
        <w:t xml:space="preserve">14.2. El Opt-In para recibir notificaciones es un consentimiento expreso, auditable y revocable por el Usuario Final. El Responsable registra fecha, hora, medio y versión del consentimiento como evidencia.</w:t>
      </w:r>
    </w:p>
    <w:p>
      <w:pPr>
        <w:spacing w:after="120"/>
      </w:pPr>
      <w:r>
        <w:t xml:space="preserve">14.3. Los mensajes categorizados como “Marketing” por Meta requieren un Opt-In diferenciado y específicamente revocable.</w:t>
      </w:r>
    </w:p>
    <w:p>
      <w:pPr>
        <w:spacing w:after="120"/>
      </w:pPr>
      <w:r>
        <w:t xml:space="preserve">14.4. El titular puede revocar el Opt-In en cualquier momento respondiendo al mensaje con la palabra “BAJA”, o escribiendo a [EMAIL DE PRIVACIDAD]. La revocación se procesa en un plazo no mayor a [48] horas.</w:t>
      </w:r>
    </w:p>
    <w:p>
      <w:pPr>
        <w:spacing w:after="180" w:before="0"/>
      </w:pPr>
      <w:r>
        <w:rPr>
          <w:i/>
          <w:iCs/>
          <w:color w:val="166534"/>
          <w:sz w:val="18"/>
          <w:szCs w:val="18"/>
        </w:rPr>
        <w:t xml:space="preserve">→ Cambio v2: cláusula nueva sobre Opt-In auditable y revocación.</w:t>
      </w:r>
    </w:p>
    <w:p>
      <w:pPr>
        <w:pStyle w:val="Heading1"/>
      </w:pPr>
      <w:r>
        <w:t xml:space="preserve">15. Menores de Edad</w:t>
      </w:r>
    </w:p>
    <w:p>
      <w:pPr>
        <w:spacing w:after="120"/>
      </w:pPr>
      <w:r>
        <w:t xml:space="preserve">La Plataforma no está dirigida a menores de 18 años. No recolectamos deliberadamente datos de menores. En caso de detectar recolección de información de un menor sin el debido consentimiento, procederemos a su eliminación.</w:t>
      </w:r>
    </w:p>
    <w:p>
      <w:pPr>
        <w:pStyle w:val="Heading1"/>
      </w:pPr>
      <w:r>
        <w:t xml:space="preserve">16. Modificaciones a esta Política</w:t>
      </w:r>
    </w:p>
    <w:p>
      <w:pPr>
        <w:spacing w:after="120"/>
      </w:pPr>
      <w:r>
        <w:t xml:space="preserve">Podemos modificar esta Política para reflejar cambios normativos u operativos. La versión vigente siempre estará publicada en la Plataforma. Los cambios sustanciales serán comunicados con razonable anticipación.</w:t>
      </w:r>
    </w:p>
    <w:p>
      <w:pPr>
        <w:pStyle w:val="Heading1"/>
      </w:pPr>
      <w:r>
        <w:t xml:space="preserve">17. Contacto</w:t>
      </w:r>
    </w:p>
    <w:p>
      <w:pPr>
        <w:spacing w:after="120"/>
      </w:pPr>
      <w:r>
        <w:t xml:space="preserve">Correo electrónico: [EMAIL DE PRIVACIDAD]</w:t>
      </w:r>
    </w:p>
    <w:p>
      <w:pPr>
        <w:spacing w:after="120"/>
      </w:pPr>
      <w:r>
        <w:t xml:space="preserve">Dirección postal: [DOMICILIO], Mar del Plata, Provincia de Buenos Aires, Argentina.</w:t>
      </w:r>
    </w:p>
    <w:p>
      <w:pPr>
        <w:spacing w:after="120"/>
      </w:pPr>
      <w:r>
        <w:t xml:space="preserve">Responsable de protección de datos (si aplica): [NOMBRE Y CARGO].</w:t>
      </w:r>
    </w:p>
    <w:p>
      <w:r>
        <w:t xml:space="preserve"/>
      </w:r>
    </w:p>
    <w:p>
      <w:pPr>
        <w:spacing w:after="240" w:before="120"/>
      </w:pPr>
      <w:r>
        <w:rPr>
          <w:i/>
          <w:iCs/>
          <w:color w:val="B91C1C"/>
        </w:rPr>
        <w:t xml:space="preserve">Checklist para el abogado antes de publicar: (i) confirmar número exacto de la Resolución AAIP vigente para Cláusulas Contractuales Modelo y transferencia internacional; (ii) inscripción RNBD y publicación del certificado QR; (iii) redacción de cláusula de biométricos si el producto la habilita; (iv) armonización con el DPA; (v) banner y mecanismo de consentimiento de cookies.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11111"/>
      <w:sz w:val="28"/>
      <w:szCs w:val="28"/>
    </w:rPr>
  </w:style>
  <w:style w:type="paragraph" w:styleId="Heading2">
    <w:name w:val="Heading 2"/>
    <w:basedOn w:val="Normal"/>
    <w:next w:val="Normal"/>
    <w:qFormat/>
    <w:pPr>
      <w:spacing w:after="120" w:before="20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de Privacidad v2 - [NOMBRE DEL SERVICIO]</dc:title>
  <dc:creator>Diego Severini</dc:creator>
  <cp:lastModifiedBy>Un-named</cp:lastModifiedBy>
  <cp:revision>1</cp:revision>
  <dcterms:created xsi:type="dcterms:W3CDTF">2026-04-23T01:01:16.924Z</dcterms:created>
  <dcterms:modified xsi:type="dcterms:W3CDTF">2026-04-23T01:01:16.924Z</dcterms:modified>
</cp:coreProperties>
</file>

<file path=docProps/custom.xml><?xml version="1.0" encoding="utf-8"?>
<Properties xmlns="http://schemas.openxmlformats.org/officeDocument/2006/custom-properties" xmlns:vt="http://schemas.openxmlformats.org/officeDocument/2006/docPropsVTypes"/>
</file>